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1A" w:rsidRPr="00CE6045" w:rsidRDefault="0081111A" w:rsidP="005C73E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CE6045">
        <w:rPr>
          <w:rFonts w:asciiTheme="minorHAnsi" w:hAnsiTheme="minorHAnsi" w:cstheme="minorHAnsi"/>
          <w:b/>
          <w:sz w:val="28"/>
          <w:szCs w:val="20"/>
        </w:rPr>
        <w:t>PROHLÁŠENÍ O OCHRANĚ OSOBNÍCH ÚDAJŮ</w:t>
      </w:r>
    </w:p>
    <w:p w:rsidR="0081111A" w:rsidRPr="00CE6045" w:rsidRDefault="0081111A" w:rsidP="0081111A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E6045">
        <w:rPr>
          <w:rFonts w:asciiTheme="minorHAnsi" w:hAnsiTheme="minorHAnsi" w:cstheme="minorHAnsi"/>
          <w:bCs/>
          <w:i/>
          <w:sz w:val="22"/>
          <w:szCs w:val="22"/>
        </w:rPr>
        <w:t>podle čl. 13 a násl. nařízení Evropského parlamentu a Rady (EU) 2016/679 ze dne 27. dubna 2016</w:t>
      </w:r>
    </w:p>
    <w:p w:rsidR="0081111A" w:rsidRPr="00CE6045" w:rsidRDefault="0081111A" w:rsidP="0081111A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E6045">
        <w:rPr>
          <w:rFonts w:asciiTheme="minorHAnsi" w:hAnsiTheme="minorHAnsi" w:cstheme="minorHAnsi"/>
          <w:bCs/>
          <w:i/>
          <w:sz w:val="22"/>
          <w:szCs w:val="22"/>
        </w:rPr>
        <w:t>o ochraně fyzických osob v souvislosti se zpracováním osobních údajů a o volném pohybu těchto údajů a o zrušení směrnice 95/46/ES (obecné nařízení o ochraně osobních údajů) – dále jen „GDPR“</w:t>
      </w:r>
    </w:p>
    <w:p w:rsidR="0081111A" w:rsidRPr="009A7FC0" w:rsidRDefault="0081111A" w:rsidP="008111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111A" w:rsidRPr="00CE6045" w:rsidRDefault="0081111A" w:rsidP="008111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7F98" w:rsidRDefault="003A6987" w:rsidP="007A7F9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6045">
        <w:rPr>
          <w:rFonts w:asciiTheme="minorHAnsi" w:hAnsiTheme="minorHAnsi" w:cstheme="minorHAnsi"/>
          <w:b/>
          <w:sz w:val="22"/>
          <w:szCs w:val="22"/>
        </w:rPr>
        <w:t xml:space="preserve">Správce osobních údajů </w:t>
      </w:r>
      <w:r w:rsidR="00ED6067" w:rsidRPr="00CE6045">
        <w:rPr>
          <w:rFonts w:asciiTheme="minorHAnsi" w:hAnsiTheme="minorHAnsi" w:cstheme="minorHAnsi"/>
          <w:b/>
          <w:sz w:val="22"/>
          <w:szCs w:val="22"/>
        </w:rPr>
        <w:t>a jeho kontaktní údaje</w:t>
      </w:r>
    </w:p>
    <w:p w:rsidR="007A7F98" w:rsidRPr="007A7F98" w:rsidRDefault="007A7F98" w:rsidP="007A7F98">
      <w:pPr>
        <w:pStyle w:val="Odstavecseseznamem"/>
        <w:ind w:left="45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D6067" w:rsidRPr="00CE6045" w:rsidRDefault="0081111A" w:rsidP="008974ED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CE6045">
        <w:rPr>
          <w:rFonts w:asciiTheme="minorHAnsi" w:hAnsiTheme="minorHAnsi" w:cstheme="minorHAnsi"/>
          <w:sz w:val="22"/>
          <w:szCs w:val="22"/>
        </w:rPr>
        <w:t xml:space="preserve">Správcem osobních údajů </w:t>
      </w:r>
      <w:r w:rsidRPr="00C130DB">
        <w:rPr>
          <w:rFonts w:asciiTheme="minorHAnsi" w:hAnsiTheme="minorHAnsi" w:cstheme="minorHAnsi"/>
          <w:sz w:val="22"/>
          <w:szCs w:val="22"/>
        </w:rPr>
        <w:t>je</w:t>
      </w:r>
      <w:r w:rsidR="00B9732F">
        <w:rPr>
          <w:rFonts w:asciiTheme="minorHAnsi" w:hAnsiTheme="minorHAnsi" w:cstheme="minorHAnsi"/>
          <w:sz w:val="22"/>
          <w:szCs w:val="22"/>
        </w:rPr>
        <w:t xml:space="preserve"> </w:t>
      </w:r>
      <w:r w:rsidR="00C130DB" w:rsidRPr="00C130DB">
        <w:rPr>
          <w:rFonts w:asciiTheme="minorHAnsi" w:hAnsiTheme="minorHAnsi" w:cstheme="minorHAnsi"/>
          <w:b/>
          <w:sz w:val="22"/>
          <w:szCs w:val="22"/>
        </w:rPr>
        <w:t>Střední škola a základní škola Žamberk</w:t>
      </w:r>
      <w:r w:rsidR="008974ED" w:rsidRPr="00C130D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130DB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="008974ED" w:rsidRPr="00C130DB">
        <w:rPr>
          <w:rFonts w:asciiTheme="minorHAnsi" w:hAnsiTheme="minorHAnsi" w:cstheme="minorHAnsi"/>
          <w:b/>
          <w:sz w:val="22"/>
          <w:szCs w:val="22"/>
        </w:rPr>
        <w:t xml:space="preserve">sídlem </w:t>
      </w:r>
      <w:r w:rsidR="00C130DB" w:rsidRPr="00C130DB">
        <w:rPr>
          <w:rFonts w:asciiTheme="minorHAnsi" w:hAnsiTheme="minorHAnsi" w:cstheme="minorHAnsi"/>
          <w:b/>
          <w:sz w:val="22"/>
          <w:szCs w:val="22"/>
        </w:rPr>
        <w:t>Žamberk,  Tyršova 214, PSČ 564 01</w:t>
      </w:r>
      <w:r w:rsidR="008974ED" w:rsidRPr="00C130DB">
        <w:rPr>
          <w:rFonts w:asciiTheme="minorHAnsi" w:hAnsiTheme="minorHAnsi" w:cstheme="minorHAnsi"/>
          <w:b/>
          <w:sz w:val="22"/>
          <w:szCs w:val="22"/>
        </w:rPr>
        <w:t xml:space="preserve">, IČ: </w:t>
      </w:r>
      <w:r w:rsidR="00C130DB" w:rsidRPr="00C130DB">
        <w:rPr>
          <w:rFonts w:asciiTheme="minorHAnsi" w:hAnsiTheme="minorHAnsi" w:cstheme="minorHAnsi"/>
          <w:b/>
          <w:sz w:val="22"/>
          <w:szCs w:val="22"/>
        </w:rPr>
        <w:t>49314840</w:t>
      </w:r>
      <w:r w:rsidR="008974ED" w:rsidRPr="00C130DB">
        <w:rPr>
          <w:rFonts w:asciiTheme="minorHAnsi" w:hAnsiTheme="minorHAnsi" w:cstheme="minorHAnsi"/>
          <w:sz w:val="22"/>
          <w:szCs w:val="22"/>
        </w:rPr>
        <w:t xml:space="preserve"> </w:t>
      </w:r>
      <w:r w:rsidR="00FD1083" w:rsidRPr="00C130DB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(dále jen „</w:t>
      </w:r>
      <w:r w:rsidR="00FD1083" w:rsidRPr="00C130D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Správce</w:t>
      </w:r>
      <w:r w:rsidR="00FD1083" w:rsidRPr="00C130DB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“).</w:t>
      </w:r>
      <w:r w:rsidR="00ED6067" w:rsidRPr="00CE60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6067" w:rsidRPr="00CE6045" w:rsidRDefault="00ED6067" w:rsidP="00ED6067">
      <w:pPr>
        <w:pStyle w:val="Default"/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B7B84" w:rsidRPr="00CE6045" w:rsidRDefault="00C46172" w:rsidP="003B7B84">
      <w:pPr>
        <w:pStyle w:val="Default"/>
        <w:ind w:left="454"/>
        <w:jc w:val="both"/>
        <w:rPr>
          <w:rFonts w:asciiTheme="minorHAnsi" w:hAnsiTheme="minorHAnsi"/>
          <w:sz w:val="22"/>
          <w:szCs w:val="22"/>
        </w:rPr>
      </w:pPr>
      <w:r w:rsidRPr="00CE6045">
        <w:rPr>
          <w:rFonts w:asciiTheme="minorHAnsi" w:hAnsiTheme="minorHAnsi"/>
          <w:sz w:val="22"/>
          <w:szCs w:val="22"/>
        </w:rPr>
        <w:t xml:space="preserve">Správce  </w:t>
      </w:r>
      <w:r w:rsidR="003B7B84" w:rsidRPr="00CE6045">
        <w:rPr>
          <w:rFonts w:asciiTheme="minorHAnsi" w:hAnsiTheme="minorHAnsi"/>
          <w:sz w:val="22"/>
          <w:szCs w:val="22"/>
        </w:rPr>
        <w:t xml:space="preserve">vykonává činnost jako </w:t>
      </w:r>
      <w:r w:rsidR="003B7B84" w:rsidRPr="00CE6045">
        <w:rPr>
          <w:rFonts w:asciiTheme="minorHAnsi" w:hAnsiTheme="minorHAnsi"/>
          <w:color w:val="000000" w:themeColor="text1"/>
          <w:sz w:val="22"/>
          <w:szCs w:val="22"/>
        </w:rPr>
        <w:t>školská organizace poskytující vzdělávání ve smyslu ustanovení § 1 zákona č. 561/</w:t>
      </w:r>
      <w:r w:rsidR="003B7B84"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2004 Sb., </w:t>
      </w:r>
      <w:r w:rsidR="003B7B84" w:rsidRPr="00CE6045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o předškolním, základním, středním, vyšším odborném a jiném vzdělávání („</w:t>
      </w:r>
      <w:r w:rsidR="003B7B84" w:rsidRPr="00CE6045">
        <w:rPr>
          <w:rFonts w:asciiTheme="minorHAnsi" w:hAnsiTheme="minorHAnsi"/>
          <w:sz w:val="22"/>
          <w:szCs w:val="22"/>
        </w:rPr>
        <w:t>školský zákon“).</w:t>
      </w:r>
    </w:p>
    <w:p w:rsidR="001B517A" w:rsidRPr="00CE6045" w:rsidRDefault="001B517A" w:rsidP="003B7B8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B517A" w:rsidRPr="00CE6045" w:rsidRDefault="001B517A" w:rsidP="001B517A">
      <w:pPr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604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Správce si je vědom významu ochrany osobních údajů, a proto při zpracování osobních údajů postupuje vždy v souladu s platnými právními předpisy. </w:t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>Správce respektuje právo na ochranu osobních údajů, považuje ho za základní nástroj ochrany soukr</w:t>
      </w:r>
      <w:r w:rsidR="003B7B84"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>omí a jako základní lidské právo</w:t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vše ve smyslu ustanovení čl. 10 odst. 3 Listiny základních práv a svobod. </w:t>
      </w:r>
    </w:p>
    <w:p w:rsidR="00ED6067" w:rsidRPr="00CE6045" w:rsidRDefault="00ED6067" w:rsidP="00ED606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D6067" w:rsidRPr="00CE6045" w:rsidRDefault="00ED6067" w:rsidP="003B7B84">
      <w:pPr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Prostřednictvím tohoto prohlášení </w:t>
      </w:r>
      <w:r w:rsidR="00193777"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>poskytuje Správce</w:t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517A"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>v souladu s</w:t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čl. 13 GDPR subjektům osobních údajů (dále jen </w:t>
      </w:r>
      <w:r w:rsidRPr="00CE60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„Subjekt</w:t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>“) inform</w:t>
      </w:r>
      <w:r w:rsidR="003B7B84"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ace o zpracování osobních údajů. </w:t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tomto </w:t>
      </w:r>
      <w:r w:rsidR="001B517A"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>dokumentu</w:t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3777"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193777"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tak</w:t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například dozvíte:</w:t>
      </w:r>
    </w:p>
    <w:p w:rsidR="00ED6067" w:rsidRPr="00CE6045" w:rsidRDefault="00ED6067" w:rsidP="0019377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>Kdo nese odpovědnost za zpracování vašich osobních údajů,</w:t>
      </w:r>
    </w:p>
    <w:p w:rsidR="00ED6067" w:rsidRPr="00CE6045" w:rsidRDefault="00ED6067" w:rsidP="0019377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>Pro jaké účely jsou vaše osobní údaje využívány,</w:t>
      </w:r>
    </w:p>
    <w:p w:rsidR="004C4C5C" w:rsidRPr="00CE6045" w:rsidRDefault="00ED6067" w:rsidP="0072078E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>Co nás opravňu</w:t>
      </w:r>
      <w:r w:rsidR="004C4C5C"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>je k zacházení s osobními údaji,</w:t>
      </w:r>
    </w:p>
    <w:p w:rsidR="00ED6067" w:rsidRPr="00CE6045" w:rsidRDefault="004C4C5C" w:rsidP="0072078E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>Jak</w:t>
      </w:r>
      <w:r w:rsidR="00ED6067"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dlouho budeme s informacemi nakládat,</w:t>
      </w:r>
    </w:p>
    <w:p w:rsidR="00ED6067" w:rsidRPr="00CE6045" w:rsidRDefault="00ED6067" w:rsidP="0019377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045">
        <w:rPr>
          <w:rFonts w:asciiTheme="minorHAnsi" w:hAnsiTheme="minorHAnsi" w:cstheme="minorHAnsi"/>
          <w:sz w:val="22"/>
          <w:szCs w:val="22"/>
        </w:rPr>
        <w:t>Kdo může do osobních údajů nahlížet (tzv. příjemci),</w:t>
      </w:r>
    </w:p>
    <w:p w:rsidR="00ED6067" w:rsidRPr="00CE6045" w:rsidRDefault="00ED6067" w:rsidP="0019377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045">
        <w:rPr>
          <w:rFonts w:asciiTheme="minorHAnsi" w:hAnsiTheme="minorHAnsi" w:cstheme="minorHAnsi"/>
          <w:sz w:val="22"/>
          <w:szCs w:val="22"/>
        </w:rPr>
        <w:t>Jaká práva máte jako subjekt osobních údajů.</w:t>
      </w:r>
    </w:p>
    <w:p w:rsidR="004C4C5C" w:rsidRPr="00CE6045" w:rsidRDefault="004C4C5C" w:rsidP="00ED6067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FD1083" w:rsidRPr="00CE6045" w:rsidRDefault="00EA094F" w:rsidP="0081111A">
      <w:pPr>
        <w:pStyle w:val="Odstavecseseznamem"/>
        <w:ind w:left="45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Kontaktní údaje S</w:t>
      </w:r>
      <w:r w:rsidR="00FD1083"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právce:</w:t>
      </w:r>
    </w:p>
    <w:p w:rsidR="00C130DB" w:rsidRPr="007A7F98" w:rsidRDefault="00CD2809" w:rsidP="0025517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  <w:r w:rsidRPr="007A7F98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korespondenční adresa:</w:t>
      </w:r>
      <w:r w:rsidRPr="007A7F98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Pr="007A7F98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C130DB" w:rsidRPr="007A7F98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Tyršova 214,</w:t>
      </w:r>
      <w:r w:rsidR="007A7F98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 564 01 </w:t>
      </w:r>
      <w:r w:rsidR="00C130DB" w:rsidRPr="007A7F98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Žamberk</w:t>
      </w:r>
    </w:p>
    <w:p w:rsidR="00CD2809" w:rsidRPr="00CE6045" w:rsidRDefault="00CD2809" w:rsidP="00CD280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e-mail:</w:t>
      </w: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C130DB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oups@oupszamberk.cz</w:t>
      </w:r>
    </w:p>
    <w:p w:rsidR="00CD2809" w:rsidRPr="00CE6045" w:rsidRDefault="00CD2809" w:rsidP="00CD280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ID datové schránky:</w:t>
      </w: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C130DB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q6xnxxn</w:t>
      </w:r>
    </w:p>
    <w:p w:rsidR="00CD2809" w:rsidRPr="00CE6045" w:rsidRDefault="00CD2809" w:rsidP="00CD280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telefon: </w:t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A7F98">
        <w:rPr>
          <w:rFonts w:asciiTheme="minorHAnsi" w:hAnsiTheme="minorHAnsi" w:cstheme="minorHAnsi"/>
          <w:color w:val="000000" w:themeColor="text1"/>
          <w:sz w:val="22"/>
          <w:szCs w:val="22"/>
        </w:rPr>
        <w:t>+420 </w:t>
      </w:r>
      <w:r w:rsidR="00C622B4">
        <w:rPr>
          <w:rFonts w:asciiTheme="minorHAnsi" w:hAnsiTheme="minorHAnsi" w:cstheme="minorHAnsi"/>
          <w:color w:val="000000" w:themeColor="text1"/>
          <w:sz w:val="22"/>
          <w:szCs w:val="22"/>
        </w:rPr>
        <w:t>465</w:t>
      </w:r>
      <w:r w:rsidR="007A7F9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622B4">
        <w:rPr>
          <w:rFonts w:asciiTheme="minorHAnsi" w:hAnsiTheme="minorHAnsi" w:cstheme="minorHAnsi"/>
          <w:color w:val="000000" w:themeColor="text1"/>
          <w:sz w:val="22"/>
          <w:szCs w:val="22"/>
        </w:rPr>
        <w:t>614</w:t>
      </w:r>
      <w:r w:rsidR="007A7F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22B4">
        <w:rPr>
          <w:rFonts w:asciiTheme="minorHAnsi" w:hAnsiTheme="minorHAnsi" w:cstheme="minorHAnsi"/>
          <w:color w:val="000000" w:themeColor="text1"/>
          <w:sz w:val="22"/>
          <w:szCs w:val="22"/>
        </w:rPr>
        <w:t>472</w:t>
      </w:r>
    </w:p>
    <w:p w:rsidR="00CE6045" w:rsidRPr="00CE6045" w:rsidRDefault="00CE6045" w:rsidP="000B73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071C" w:rsidRDefault="0063071C" w:rsidP="0063071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6045">
        <w:rPr>
          <w:rFonts w:asciiTheme="minorHAnsi" w:hAnsiTheme="minorHAnsi" w:cstheme="minorHAnsi"/>
          <w:b/>
          <w:sz w:val="22"/>
          <w:szCs w:val="22"/>
        </w:rPr>
        <w:t>Kontaktní údaje pověřence pro ochranu osobních údajů</w:t>
      </w:r>
    </w:p>
    <w:p w:rsidR="007A7F98" w:rsidRPr="00CE6045" w:rsidRDefault="007A7F98" w:rsidP="007A7F98">
      <w:pPr>
        <w:pStyle w:val="Odstavecseseznamem"/>
        <w:ind w:left="45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071C" w:rsidRPr="00CE6045" w:rsidRDefault="0063071C" w:rsidP="00B9732F">
      <w:pPr>
        <w:pStyle w:val="Odstavecseseznamem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CE6045">
        <w:rPr>
          <w:rFonts w:asciiTheme="minorHAnsi" w:hAnsiTheme="minorHAnsi" w:cstheme="minorHAnsi"/>
          <w:sz w:val="22"/>
          <w:szCs w:val="22"/>
        </w:rPr>
        <w:t xml:space="preserve">Správce osobních údajů jmenoval pověřencem pro ochranu osobních údajů </w:t>
      </w:r>
      <w:r w:rsidR="007A7F98">
        <w:rPr>
          <w:rFonts w:asciiTheme="minorHAnsi" w:hAnsiTheme="minorHAnsi" w:cstheme="minorHAnsi"/>
          <w:sz w:val="22"/>
          <w:szCs w:val="22"/>
        </w:rPr>
        <w:t>společnost</w:t>
      </w:r>
      <w:r w:rsidR="00B9732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7A7F98" w:rsidRPr="007A7F98">
        <w:rPr>
          <w:rFonts w:asciiTheme="minorHAnsi" w:hAnsiTheme="minorHAnsi" w:cstheme="minorHAnsi"/>
          <w:b/>
          <w:sz w:val="22"/>
          <w:szCs w:val="22"/>
        </w:rPr>
        <w:t>Schola</w:t>
      </w:r>
      <w:proofErr w:type="spellEnd"/>
      <w:r w:rsidR="007A7F98" w:rsidRPr="007A7F98">
        <w:rPr>
          <w:rFonts w:asciiTheme="minorHAnsi" w:hAnsiTheme="minorHAnsi" w:cstheme="minorHAnsi"/>
          <w:b/>
          <w:sz w:val="22"/>
          <w:szCs w:val="22"/>
        </w:rPr>
        <w:t xml:space="preserve"> Servis GDPR, s. r. o.</w:t>
      </w:r>
      <w:r w:rsidRPr="007A7F9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A7F98" w:rsidRPr="007A7F98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A7F98">
        <w:rPr>
          <w:rFonts w:asciiTheme="minorHAnsi" w:hAnsiTheme="minorHAnsi" w:cstheme="minorHAnsi"/>
          <w:b/>
          <w:sz w:val="22"/>
          <w:szCs w:val="22"/>
        </w:rPr>
        <w:t>sídlem</w:t>
      </w:r>
      <w:r w:rsidR="007A7F98" w:rsidRPr="007A7F98">
        <w:rPr>
          <w:rFonts w:asciiTheme="minorHAnsi" w:hAnsiTheme="minorHAnsi" w:cstheme="minorHAnsi"/>
          <w:b/>
          <w:sz w:val="22"/>
          <w:szCs w:val="22"/>
        </w:rPr>
        <w:t xml:space="preserve"> Palackého 150/8, 796 01 Prostějov,</w:t>
      </w:r>
      <w:r w:rsidRPr="007A7F98">
        <w:rPr>
          <w:rFonts w:asciiTheme="minorHAnsi" w:hAnsiTheme="minorHAnsi" w:cstheme="minorHAnsi"/>
          <w:b/>
          <w:sz w:val="22"/>
          <w:szCs w:val="22"/>
        </w:rPr>
        <w:t xml:space="preserve"> IČ: </w:t>
      </w:r>
      <w:r w:rsidR="007A7F98" w:rsidRPr="007A7F98">
        <w:rPr>
          <w:rFonts w:asciiTheme="minorHAnsi" w:hAnsiTheme="minorHAnsi" w:cstheme="minorHAnsi"/>
          <w:b/>
          <w:sz w:val="22"/>
          <w:szCs w:val="22"/>
        </w:rPr>
        <w:t xml:space="preserve">04223748 </w:t>
      </w:r>
      <w:r w:rsidRPr="007A7F98">
        <w:rPr>
          <w:rFonts w:asciiTheme="minorHAnsi" w:hAnsiTheme="minorHAnsi" w:cstheme="minorHAnsi"/>
          <w:b/>
          <w:sz w:val="22"/>
          <w:szCs w:val="22"/>
        </w:rPr>
        <w:t xml:space="preserve"> (dále je</w:t>
      </w:r>
      <w:r w:rsidRPr="007A7F98">
        <w:rPr>
          <w:rFonts w:asciiTheme="minorHAnsi" w:hAnsiTheme="minorHAnsi" w:cstheme="minorHAnsi"/>
          <w:sz w:val="22"/>
          <w:szCs w:val="22"/>
        </w:rPr>
        <w:t>n „</w:t>
      </w:r>
      <w:r w:rsidRPr="007A7F98">
        <w:rPr>
          <w:rFonts w:asciiTheme="minorHAnsi" w:hAnsiTheme="minorHAnsi" w:cstheme="minorHAnsi"/>
          <w:b/>
          <w:sz w:val="22"/>
          <w:szCs w:val="22"/>
        </w:rPr>
        <w:t>Pověřenec</w:t>
      </w:r>
      <w:r w:rsidRPr="00CE6045">
        <w:rPr>
          <w:rFonts w:asciiTheme="minorHAnsi" w:hAnsiTheme="minorHAnsi" w:cstheme="minorHAnsi"/>
          <w:sz w:val="22"/>
          <w:szCs w:val="22"/>
        </w:rPr>
        <w:t>“).</w:t>
      </w:r>
    </w:p>
    <w:p w:rsidR="007552A6" w:rsidRPr="00CE6045" w:rsidRDefault="007A7F98" w:rsidP="000B73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63071C" w:rsidRPr="00CE6045" w:rsidRDefault="0063071C" w:rsidP="0063071C">
      <w:pPr>
        <w:pStyle w:val="Odstavecseseznamem"/>
        <w:ind w:left="45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Kontaktní údaje na Pověřence:</w:t>
      </w:r>
      <w:r w:rsidR="007A7F98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7A7F98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</w:p>
    <w:p w:rsidR="0063071C" w:rsidRPr="00CE6045" w:rsidRDefault="0063071C" w:rsidP="0063071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korespondenční adresa:</w:t>
      </w: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7A7F98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Palackého 150/8, 796 01 Prostějov</w:t>
      </w:r>
    </w:p>
    <w:p w:rsidR="0063071C" w:rsidRPr="00CE6045" w:rsidRDefault="0063071C" w:rsidP="0063071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e-mail:</w:t>
      </w: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7A7F98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poverenec@gdprdoskol.cz</w:t>
      </w:r>
    </w:p>
    <w:p w:rsidR="0063071C" w:rsidRPr="00CE6045" w:rsidRDefault="0063071C" w:rsidP="0063071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ID datové schránky:</w:t>
      </w: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Pr="00CE6045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7A7F98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5b36car</w:t>
      </w:r>
    </w:p>
    <w:p w:rsidR="0063071C" w:rsidRPr="007A7F98" w:rsidRDefault="0063071C" w:rsidP="0063071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telefon: </w:t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E60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A7F98">
        <w:rPr>
          <w:rFonts w:asciiTheme="minorHAnsi" w:hAnsiTheme="minorHAnsi" w:cstheme="minorHAnsi"/>
          <w:color w:val="000000" w:themeColor="text1"/>
          <w:sz w:val="22"/>
          <w:szCs w:val="22"/>
        </w:rPr>
        <w:t>732 657 386, 733 281 378, 732 464 854</w:t>
      </w:r>
    </w:p>
    <w:p w:rsidR="007A7F98" w:rsidRDefault="007A7F98" w:rsidP="007A7F9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7A7F98" w:rsidRDefault="007A7F98" w:rsidP="007A7F9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7A7F98" w:rsidRPr="007A7F98" w:rsidRDefault="007A7F98" w:rsidP="007A7F9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63071C" w:rsidRPr="00CE6045" w:rsidRDefault="0063071C" w:rsidP="000B73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6E16" w:rsidRPr="00CE6045" w:rsidRDefault="004C4C5C" w:rsidP="00CE60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604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Účel </w:t>
      </w:r>
      <w:r w:rsidR="007312DC" w:rsidRPr="00CE6045">
        <w:rPr>
          <w:rFonts w:asciiTheme="minorHAnsi" w:hAnsiTheme="minorHAnsi" w:cstheme="minorHAnsi"/>
          <w:b/>
          <w:sz w:val="22"/>
          <w:szCs w:val="22"/>
        </w:rPr>
        <w:t>zpracování,</w:t>
      </w:r>
      <w:r w:rsidR="00B03A48" w:rsidRPr="00CE6045">
        <w:rPr>
          <w:rFonts w:asciiTheme="minorHAnsi" w:hAnsiTheme="minorHAnsi" w:cstheme="minorHAnsi"/>
          <w:b/>
          <w:sz w:val="22"/>
          <w:szCs w:val="22"/>
        </w:rPr>
        <w:t xml:space="preserve"> jeho</w:t>
      </w:r>
      <w:r w:rsidRPr="00CE60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12DC" w:rsidRPr="00CE6045">
        <w:rPr>
          <w:rFonts w:asciiTheme="minorHAnsi" w:hAnsiTheme="minorHAnsi" w:cstheme="minorHAnsi"/>
          <w:b/>
          <w:sz w:val="22"/>
          <w:szCs w:val="22"/>
        </w:rPr>
        <w:t>právní základ a doba zpracování</w:t>
      </w:r>
    </w:p>
    <w:tbl>
      <w:tblPr>
        <w:tblStyle w:val="Tabulkasmkou4zvraznn1"/>
        <w:tblW w:w="0" w:type="auto"/>
        <w:tblLook w:val="04A0" w:firstRow="1" w:lastRow="0" w:firstColumn="1" w:lastColumn="0" w:noHBand="0" w:noVBand="1"/>
      </w:tblPr>
      <w:tblGrid>
        <w:gridCol w:w="2258"/>
        <w:gridCol w:w="2275"/>
        <w:gridCol w:w="2257"/>
        <w:gridCol w:w="2264"/>
      </w:tblGrid>
      <w:tr w:rsidR="007D6E16" w:rsidRPr="009A7FC0" w:rsidTr="00720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:rsidR="007D6E16" w:rsidRPr="009A7FC0" w:rsidRDefault="007D6E16" w:rsidP="0072078E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7D6E16" w:rsidRPr="009A7FC0" w:rsidRDefault="007D6E16" w:rsidP="007207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 xml:space="preserve">AGENDA </w:t>
            </w:r>
          </w:p>
          <w:p w:rsidR="007D6E16" w:rsidRPr="009A7FC0" w:rsidRDefault="007D6E16" w:rsidP="0072078E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7D6E16" w:rsidRPr="009A7FC0" w:rsidRDefault="007D6E16" w:rsidP="0072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6E16" w:rsidRPr="009A7FC0" w:rsidRDefault="007D6E16" w:rsidP="0072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ÚČEL ZPRACOVÁNÍ</w:t>
            </w:r>
          </w:p>
          <w:p w:rsidR="007D6E16" w:rsidRPr="009A7FC0" w:rsidRDefault="007D6E16" w:rsidP="0072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7D6E16" w:rsidRPr="009A7FC0" w:rsidRDefault="007D6E16" w:rsidP="0072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6E16" w:rsidRPr="009A7FC0" w:rsidRDefault="007D6E16" w:rsidP="0072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PRÁVNÍ ZÁKLAD</w:t>
            </w:r>
          </w:p>
          <w:p w:rsidR="007D6E16" w:rsidRPr="009A7FC0" w:rsidRDefault="007D6E16" w:rsidP="0072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7D6E16" w:rsidRPr="009A7FC0" w:rsidRDefault="007D6E16" w:rsidP="0072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7D6E16" w:rsidRPr="009A7FC0" w:rsidRDefault="00F048C5" w:rsidP="0072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DOBA ZPRACOVÁNÍ</w:t>
            </w:r>
          </w:p>
          <w:p w:rsidR="007D6E16" w:rsidRPr="009A7FC0" w:rsidRDefault="007D6E16" w:rsidP="0072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F0B0A" w:rsidRPr="009A7FC0" w:rsidTr="004D1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 w:rsidRPr="009A7FC0">
              <w:rPr>
                <w:rFonts w:cstheme="minorHAnsi"/>
                <w:b w:val="0"/>
                <w:sz w:val="20"/>
                <w:szCs w:val="20"/>
              </w:rPr>
              <w:t>Personální agenda – vedení osobních spisů, administrativně-právní agenda spojená s pracovněprávní oblastí (vstavování potvrzení apod., plnění ohlašovací povinnosti vůči zdravotní pojišťovně) apod.</w:t>
            </w:r>
          </w:p>
        </w:tc>
        <w:tc>
          <w:tcPr>
            <w:tcW w:w="2275" w:type="dxa"/>
          </w:tcPr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 xml:space="preserve">Plnění povinností vyplývajících zaměstnavateli z právních předpisů v pracovně-právní oblasti, a to např. </w:t>
            </w:r>
            <w:proofErr w:type="gramStart"/>
            <w:r w:rsidRPr="009A7FC0">
              <w:rPr>
                <w:rFonts w:cstheme="minorHAnsi"/>
                <w:sz w:val="20"/>
                <w:szCs w:val="20"/>
              </w:rPr>
              <w:t>dle</w:t>
            </w:r>
            <w:proofErr w:type="gramEnd"/>
            <w:r w:rsidRPr="009A7FC0">
              <w:rPr>
                <w:rFonts w:cstheme="minorHAnsi"/>
                <w:sz w:val="20"/>
                <w:szCs w:val="20"/>
              </w:rPr>
              <w:t>:</w:t>
            </w:r>
          </w:p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- zákona č. 262/2006 Sb., zákoník práce (§ 103 odst. 2, § 105 odst. 2, § 312 apod.),</w:t>
            </w:r>
          </w:p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- zákona č. 48/1997 Sb., o veřejném zdravotním pojištění (§ 10)</w:t>
            </w:r>
          </w:p>
          <w:p w:rsidR="00AF0B0A" w:rsidRPr="009A7FC0" w:rsidRDefault="00AF0B0A" w:rsidP="00AF0B0A">
            <w:pPr>
              <w:pStyle w:val="Textpoznpodaro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7FC0">
              <w:rPr>
                <w:rFonts w:asciiTheme="minorHAnsi" w:hAnsiTheme="minorHAnsi" w:cstheme="minorHAnsi"/>
              </w:rPr>
              <w:t xml:space="preserve">- zákona č. 187/2006 Sb., o nemocenském pojištění (§ 65, § 92 až § 100), </w:t>
            </w:r>
          </w:p>
          <w:p w:rsidR="00AF0B0A" w:rsidRPr="009A7FC0" w:rsidRDefault="00AF0B0A" w:rsidP="00AF0B0A">
            <w:pPr>
              <w:pStyle w:val="Textpoznpodaro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7FC0">
              <w:rPr>
                <w:rFonts w:asciiTheme="minorHAnsi" w:hAnsiTheme="minorHAnsi" w:cstheme="minorHAnsi"/>
              </w:rPr>
              <w:t xml:space="preserve">zákona č. 155/1995 Sb., o důchodovém pojištění (§ 1 odst. 2, § 16, § 73), </w:t>
            </w:r>
          </w:p>
          <w:p w:rsidR="00AF0B0A" w:rsidRPr="009A7FC0" w:rsidRDefault="00AF0B0A" w:rsidP="00AF0B0A">
            <w:pPr>
              <w:pStyle w:val="Textpoznpodaro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7FC0">
              <w:rPr>
                <w:rFonts w:asciiTheme="minorHAnsi" w:hAnsiTheme="minorHAnsi" w:cstheme="minorHAnsi"/>
              </w:rPr>
              <w:t xml:space="preserve">- zákona č. 280/2009 Sb., daňový řád, </w:t>
            </w:r>
          </w:p>
          <w:p w:rsidR="00AF0B0A" w:rsidRPr="009A7FC0" w:rsidRDefault="00AF0B0A" w:rsidP="00AF0B0A">
            <w:pPr>
              <w:pStyle w:val="Textpoznpodaro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7FC0">
              <w:rPr>
                <w:rFonts w:asciiTheme="minorHAnsi" w:hAnsiTheme="minorHAnsi" w:cstheme="minorHAnsi"/>
              </w:rPr>
              <w:t xml:space="preserve">- zákona č. 586/1992 Sb., o dani z příjmů, </w:t>
            </w:r>
          </w:p>
          <w:p w:rsidR="00AF0B0A" w:rsidRPr="009A7FC0" w:rsidRDefault="00AF0B0A" w:rsidP="00AF0B0A">
            <w:pPr>
              <w:pStyle w:val="Textpoznpodaro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7FC0">
              <w:rPr>
                <w:rFonts w:asciiTheme="minorHAnsi" w:hAnsiTheme="minorHAnsi" w:cstheme="minorHAnsi"/>
              </w:rPr>
              <w:t>- zákon č. 435/2004 Sb., o zaměstnanosti</w:t>
            </w:r>
          </w:p>
          <w:p w:rsidR="00AF0B0A" w:rsidRPr="009A7FC0" w:rsidRDefault="00AF0B0A" w:rsidP="00AF0B0A">
            <w:pPr>
              <w:pStyle w:val="Textpoznpodaro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7FC0">
              <w:rPr>
                <w:rFonts w:asciiTheme="minorHAnsi" w:hAnsiTheme="minorHAnsi" w:cstheme="minorHAnsi"/>
              </w:rPr>
              <w:t xml:space="preserve">- zákon č. 563/2004 Sb., o pedagogických pracovnících </w:t>
            </w:r>
          </w:p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8" w:type="dxa"/>
          </w:tcPr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Čl. 6 odst. 1 písm. c) GDPR plnění právní povinnosti</w:t>
            </w:r>
          </w:p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Čl. 6 odst. 1 písm. b) GDPR zpracování nezbytné pro plnění smluvní povinnosti (z pracovní smlouvy nebo dohody konané mimo pracovní poměr)</w:t>
            </w:r>
          </w:p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AF0B0A" w:rsidRPr="00AF0B0A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sz w:val="20"/>
                <w:szCs w:val="20"/>
              </w:rPr>
              <w:t>Osobní spisy zaměstnanců A50,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Snížení pracovního </w:t>
            </w:r>
            <w:proofErr w:type="gramStart"/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úvazku</w:t>
            </w:r>
            <w:proofErr w:type="gramEnd"/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– </w:t>
            </w:r>
            <w:proofErr w:type="gramStart"/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kat</w:t>
            </w:r>
            <w:proofErr w:type="gramEnd"/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S/5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Vedlejší činnost, dohody konané mimo pracovní poměr (DPP, DPČ) – kat. S/5;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Kvalifikace a vzdělávání – kat. V/10;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Podklady pro vzdělávání (hmotné zajištění školení, kurzů) – kat. S/5;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Adaptační programy zaměstnanců (školení, kurzy) – kat. S/5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Pracovní doba (pracovní volno, úlevy v práci, práce přesčas) – kat. S/5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Náhrada újmy – kat. S/5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Nemocenské a sociální zabezpečení pracovníků/ registr pojištěnců – kat. S/10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Zdravotní pojištění / registr pojištěnců – kat. S/10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Výběrová řízení na obsazení pracovních míst – kat. S/5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Pracovní řád, pracovní kázeň – kat. A/5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Postihy podle zákoníku práce – kat. S/5, Pracovně právní spory – kat. V/10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Absence – kat. S/5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Rozbory (stav, počty, platy zaměstnanců aj.) – kat. A/5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Katalog funkcí a mzdových tarifů – kat. S/5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Podklady k odměnám – kat. S/3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Mzdové listy – kat. S/50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 xml:space="preserve">Daň z příjmu fyzických </w:t>
            </w:r>
            <w:proofErr w:type="gramStart"/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osob</w:t>
            </w:r>
            <w:proofErr w:type="gramEnd"/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– </w:t>
            </w:r>
            <w:proofErr w:type="gramStart"/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kat</w:t>
            </w:r>
            <w:proofErr w:type="gramEnd"/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S/10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Výplatní pásky – kat. S/5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Půjčky zaměstnancům – kat. S/5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Dokumentace BOZP – kat. V/5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Kategorizace prací – kat. S/5;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Lékařské prohlídky – kat. S/5;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Osoby se změněnou pracovní schopností – kat. S/5;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Závodní stravování – kat. S/5;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Ochranné oděvy a jiné součástky, služební oděvy – kat. S/5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Sociální fond – kat. S/10</w:t>
            </w:r>
          </w:p>
          <w:p w:rsidR="00AF0B0A" w:rsidRPr="00AF0B0A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Dětské rekreace – kat. S/5.</w:t>
            </w:r>
          </w:p>
          <w:p w:rsidR="00AF0B0A" w:rsidRPr="00AF0B0A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0B0A" w:rsidRPr="009A7FC0" w:rsidTr="00720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 w:rsidRPr="009A7FC0">
              <w:rPr>
                <w:rFonts w:cstheme="minorHAnsi"/>
                <w:b w:val="0"/>
                <w:sz w:val="20"/>
                <w:szCs w:val="20"/>
              </w:rPr>
              <w:lastRenderedPageBreak/>
              <w:t>Platová agenda – zpracování mzdové a platové agendy</w:t>
            </w:r>
          </w:p>
        </w:tc>
        <w:tc>
          <w:tcPr>
            <w:tcW w:w="2275" w:type="dxa"/>
          </w:tcPr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 xml:space="preserve">Plnění povinností vyplývajících zaměstnavateli z pracovní smlouvy / dohody konané mimo pracovní poměr nebo z právních předpisů v pracovně-právní oblasti, a to např. </w:t>
            </w:r>
            <w:proofErr w:type="gramStart"/>
            <w:r w:rsidRPr="009A7FC0">
              <w:rPr>
                <w:rFonts w:cstheme="minorHAnsi"/>
                <w:sz w:val="20"/>
                <w:szCs w:val="20"/>
              </w:rPr>
              <w:t>dle</w:t>
            </w:r>
            <w:proofErr w:type="gramEnd"/>
            <w:r w:rsidRPr="009A7FC0">
              <w:rPr>
                <w:rFonts w:cstheme="minorHAnsi"/>
                <w:sz w:val="20"/>
                <w:szCs w:val="20"/>
              </w:rPr>
              <w:t>:</w:t>
            </w: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- zákona č. 262/2006 Sb., zákoník práce (§ 109),</w:t>
            </w: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- zákon č. 586/1992 Sb., o dani z příjmu (např. § 6 odst. 12),</w:t>
            </w: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- zákona č. 592/1992 Sb., o pojistném na veřejném zdravotním pojištění,</w:t>
            </w: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- zákona č. 187/2006 Sb., o nemocenském pojištění,</w:t>
            </w: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- zákona č. 589/1992 Sb., o pojistném na sociální zabezpečení,</w:t>
            </w: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- zákona č. 155/1995 Sb., o důchodovém pojištění</w:t>
            </w: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8" w:type="dxa"/>
          </w:tcPr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Čl. 6 odst. 1 písm. c) GDPR plnění právní povinnosti</w:t>
            </w: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Čl. 6 odst. 1 písm. b) GDPR zpracování nezbytné pro plnění smluvní povinnosti (z pracovní smlouvy nebo dohody konané mimo pracovní poměr)</w:t>
            </w: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4" w:type="dxa"/>
          </w:tcPr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Zaměstnanci zpracovávající mzdovou agendu, zaměstnavatel, k němuž je zaměstnanec přidělen k dočasné práci, a to v rozsahu dle § 308 zákona č. 262/2006 Sb., zákoník práce, Finanční úřad, Úřad práce, soudní orgány, ČSSZ, OSSZ, Úřad práce ČR, zdravotní pojišťovny, ČSÚ, exekutor, penzijní fondy, peněžní ústavy</w:t>
            </w:r>
          </w:p>
        </w:tc>
      </w:tr>
      <w:tr w:rsidR="00AF0B0A" w:rsidRPr="009A7FC0" w:rsidTr="00720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 w:rsidRPr="009A7FC0">
              <w:rPr>
                <w:rFonts w:cstheme="minorHAnsi"/>
                <w:b w:val="0"/>
                <w:sz w:val="20"/>
                <w:szCs w:val="20"/>
              </w:rPr>
              <w:t xml:space="preserve">Penzijní pojištění zaměstnanců </w:t>
            </w:r>
          </w:p>
        </w:tc>
        <w:tc>
          <w:tcPr>
            <w:tcW w:w="2275" w:type="dxa"/>
          </w:tcPr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 xml:space="preserve">Plnění povinností vyplývajících zaměstnavateli z pracovní smlouvy / dohody konané mimo pracovní poměr nebo </w:t>
            </w:r>
            <w:r w:rsidRPr="009A7FC0">
              <w:rPr>
                <w:rFonts w:cstheme="minorHAnsi"/>
                <w:sz w:val="20"/>
                <w:szCs w:val="20"/>
              </w:rPr>
              <w:lastRenderedPageBreak/>
              <w:t xml:space="preserve">z právních předpisů v pracovně-právní oblasti, a to např. </w:t>
            </w:r>
            <w:proofErr w:type="gramStart"/>
            <w:r w:rsidRPr="009A7FC0">
              <w:rPr>
                <w:rFonts w:cstheme="minorHAnsi"/>
                <w:sz w:val="20"/>
                <w:szCs w:val="20"/>
              </w:rPr>
              <w:t>dle</w:t>
            </w:r>
            <w:proofErr w:type="gramEnd"/>
            <w:r w:rsidRPr="009A7FC0">
              <w:rPr>
                <w:rFonts w:cstheme="minorHAnsi"/>
                <w:sz w:val="20"/>
                <w:szCs w:val="20"/>
              </w:rPr>
              <w:t>:</w:t>
            </w:r>
          </w:p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- zákon č. 42/1994 Sb., o penzijním připojištění,</w:t>
            </w:r>
          </w:p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- zákon č. 427/2011 Sb., o doplňkovém penzijním spoření</w:t>
            </w:r>
          </w:p>
        </w:tc>
        <w:tc>
          <w:tcPr>
            <w:tcW w:w="2258" w:type="dxa"/>
          </w:tcPr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lastRenderedPageBreak/>
              <w:t>Čl. 6 odst. 1 písm. c) plnění právní povinnosti</w:t>
            </w:r>
          </w:p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 xml:space="preserve">Čl. 6 odst. 1 písm. b) zpracování nezbytné pro </w:t>
            </w:r>
            <w:r w:rsidRPr="009A7FC0">
              <w:rPr>
                <w:rFonts w:cstheme="minorHAnsi"/>
                <w:sz w:val="20"/>
                <w:szCs w:val="20"/>
              </w:rPr>
              <w:lastRenderedPageBreak/>
              <w:t xml:space="preserve">plnění smluvní povinnosti </w:t>
            </w:r>
          </w:p>
        </w:tc>
        <w:tc>
          <w:tcPr>
            <w:tcW w:w="2264" w:type="dxa"/>
          </w:tcPr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lastRenderedPageBreak/>
              <w:t xml:space="preserve">Penzijní fondy, pověření zaměstnanci správce </w:t>
            </w:r>
          </w:p>
        </w:tc>
      </w:tr>
      <w:tr w:rsidR="00AF0B0A" w:rsidRPr="009A7FC0" w:rsidTr="00F048C5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 w:val="restart"/>
            <w:vAlign w:val="center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 w:rsidRPr="009A7FC0">
              <w:rPr>
                <w:rFonts w:cstheme="minorHAnsi"/>
                <w:b w:val="0"/>
                <w:sz w:val="20"/>
                <w:szCs w:val="20"/>
              </w:rPr>
              <w:lastRenderedPageBreak/>
              <w:t>Evidence životopisů uchazečů</w:t>
            </w:r>
          </w:p>
        </w:tc>
        <w:tc>
          <w:tcPr>
            <w:tcW w:w="2275" w:type="dxa"/>
            <w:shd w:val="clear" w:color="auto" w:fill="FFFFFF" w:themeFill="background1"/>
          </w:tcPr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cstheme="minorHAnsi"/>
                <w:color w:val="000000" w:themeColor="text1"/>
                <w:sz w:val="20"/>
                <w:szCs w:val="20"/>
              </w:rPr>
              <w:t>Konání výběrového řízení pro vypsanou pracovní pozici</w:t>
            </w:r>
          </w:p>
        </w:tc>
        <w:tc>
          <w:tcPr>
            <w:tcW w:w="2258" w:type="dxa"/>
            <w:shd w:val="clear" w:color="auto" w:fill="FFFFFF" w:themeFill="background1"/>
          </w:tcPr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Článek 6 odst. 1 písm. b) GDPR – zpracování nezbytné pro jednání o uzavření smlouvy (pracovní smlouvy / dohody konané mimo pracovní poměr)</w:t>
            </w: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:rsidR="00AF0B0A" w:rsidRPr="009A7FC0" w:rsidRDefault="002102F0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dobu konání přijímacího řízení.</w:t>
            </w:r>
          </w:p>
        </w:tc>
      </w:tr>
      <w:tr w:rsidR="00AF0B0A" w:rsidRPr="009A7FC0" w:rsidTr="00F0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cstheme="minorHAnsi"/>
                <w:color w:val="000000" w:themeColor="text1"/>
                <w:sz w:val="20"/>
                <w:szCs w:val="20"/>
              </w:rPr>
              <w:t>Dlouhodobá evidence životopisu uchazeče pro případné budoucí kontaktování zájemce s nabídkou pracovního místa</w:t>
            </w:r>
          </w:p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Článek 6 odst. 1 písm. a) GDPR – souhlas se zpracováním osobních údajů</w:t>
            </w:r>
          </w:p>
        </w:tc>
        <w:tc>
          <w:tcPr>
            <w:tcW w:w="2264" w:type="dxa"/>
            <w:shd w:val="clear" w:color="auto" w:fill="FFFFFF" w:themeFill="background1"/>
          </w:tcPr>
          <w:p w:rsidR="002102F0" w:rsidRPr="002102F0" w:rsidRDefault="002102F0" w:rsidP="00210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102F0">
              <w:rPr>
                <w:rFonts w:asciiTheme="minorHAnsi" w:hAnsiTheme="minorHAnsi"/>
                <w:sz w:val="20"/>
                <w:szCs w:val="20"/>
              </w:rPr>
              <w:t xml:space="preserve">Do odvolání souhlasu se zpracováním, jinak nejdéle </w:t>
            </w:r>
            <w:proofErr w:type="gramStart"/>
            <w:r w:rsidRPr="002102F0">
              <w:rPr>
                <w:rFonts w:asciiTheme="minorHAnsi" w:hAnsiTheme="minorHAnsi"/>
                <w:sz w:val="20"/>
                <w:szCs w:val="20"/>
              </w:rPr>
              <w:t>po</w:t>
            </w:r>
            <w:proofErr w:type="gramEnd"/>
            <w:r w:rsidRPr="002102F0">
              <w:rPr>
                <w:rFonts w:asciiTheme="minorHAnsi" w:hAnsiTheme="minorHAnsi"/>
                <w:sz w:val="20"/>
                <w:szCs w:val="20"/>
              </w:rPr>
              <w:t xml:space="preserve"> do 5 let.</w:t>
            </w:r>
          </w:p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F0B0A" w:rsidRPr="009A7FC0" w:rsidTr="00F048C5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D9E2F3" w:themeFill="accent1" w:themeFillTint="33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 w:rsidRPr="009A7FC0">
              <w:rPr>
                <w:rFonts w:cstheme="minorHAnsi"/>
                <w:b w:val="0"/>
                <w:sz w:val="20"/>
                <w:szCs w:val="20"/>
              </w:rPr>
              <w:t>Agenda BOZP</w:t>
            </w:r>
          </w:p>
        </w:tc>
        <w:tc>
          <w:tcPr>
            <w:tcW w:w="2275" w:type="dxa"/>
            <w:shd w:val="clear" w:color="auto" w:fill="D9E2F3" w:themeFill="accent1" w:themeFillTint="33"/>
          </w:tcPr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t>Plnění zákonné povinnosti podle § 105 zákona č. 262/2006 Sb., zákoník práce a podle nařízení vlády č. 201/2010 Sb., o způsobu evidence úrazů, hlášení a zasílání záznamu o úrazu</w:t>
            </w: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D9E2F3" w:themeFill="accent1" w:themeFillTint="33"/>
          </w:tcPr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t>Plnění právní povinnosti ve smyslu čl. 6 odst. 1 písm. c) GDPR</w:t>
            </w: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D9E2F3" w:themeFill="accent1" w:themeFillTint="33"/>
          </w:tcPr>
          <w:p w:rsidR="003C7D5D" w:rsidRPr="003C7D5D" w:rsidRDefault="003C7D5D" w:rsidP="003C7D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C7D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Úrazy smrtelné a těžké – kat. A/10</w:t>
            </w:r>
          </w:p>
          <w:p w:rsidR="003C7D5D" w:rsidRPr="003C7D5D" w:rsidRDefault="003C7D5D" w:rsidP="003C7D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C7D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Ostatní úrazy – kat. S/5</w:t>
            </w:r>
          </w:p>
          <w:p w:rsidR="00AF0B0A" w:rsidRPr="003C7D5D" w:rsidRDefault="003C7D5D" w:rsidP="003C7D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C7D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Dokumenty BOZP – kat. V/5</w:t>
            </w:r>
          </w:p>
        </w:tc>
      </w:tr>
      <w:tr w:rsidR="00AF0B0A" w:rsidRPr="009A7FC0" w:rsidTr="00F0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FFFFFF" w:themeFill="background1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 w:rsidRPr="009A7FC0">
              <w:rPr>
                <w:rFonts w:cstheme="minorHAnsi"/>
                <w:b w:val="0"/>
                <w:sz w:val="20"/>
                <w:szCs w:val="20"/>
              </w:rPr>
              <w:t>Agenda veřejných zakázek</w:t>
            </w:r>
          </w:p>
        </w:tc>
        <w:tc>
          <w:tcPr>
            <w:tcW w:w="2275" w:type="dxa"/>
            <w:shd w:val="clear" w:color="auto" w:fill="FFFFFF" w:themeFill="background1"/>
          </w:tcPr>
          <w:p w:rsidR="00AF0B0A" w:rsidRPr="009A7FC0" w:rsidRDefault="00AF0B0A" w:rsidP="00AF0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t>Plnění právní povinnosti ve smyslu čl. 6 odst. 1 písm. c) GDPR podle</w:t>
            </w:r>
          </w:p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dle zákona č. 134/2016 Sb., o zadávání veřejných zakázek</w:t>
            </w:r>
            <w:r w:rsidRPr="009A7FC0">
              <w:rPr>
                <w:rFonts w:asciiTheme="minorHAnsi" w:hAnsiTheme="minorHAnsi"/>
                <w:sz w:val="20"/>
                <w:szCs w:val="20"/>
              </w:rPr>
              <w:t xml:space="preserve"> (§ 4 odst. 1 písm. d), § 33 a násl. zákona)</w:t>
            </w:r>
          </w:p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t>Plnění právní povinnosti ve smyslu čl. 6 odst. 1 písm. c) GDPR</w:t>
            </w:r>
          </w:p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:rsidR="00AF0B0A" w:rsidRPr="009A7FC0" w:rsidRDefault="00AF0B0A" w:rsidP="00AF0B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color w:val="000000" w:themeColor="text1"/>
                <w:sz w:val="20"/>
                <w:szCs w:val="20"/>
              </w:rPr>
              <w:t>Veřejné zakázky – kat. V 10</w:t>
            </w:r>
          </w:p>
        </w:tc>
      </w:tr>
      <w:tr w:rsidR="00AF0B0A" w:rsidRPr="009A7FC0" w:rsidTr="00F048C5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D9E2F3" w:themeFill="accent1" w:themeFillTint="33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 w:rsidRPr="009A7FC0">
              <w:rPr>
                <w:rFonts w:cstheme="minorHAnsi"/>
                <w:b w:val="0"/>
                <w:sz w:val="20"/>
                <w:szCs w:val="20"/>
              </w:rPr>
              <w:t xml:space="preserve">Spisová služba </w:t>
            </w:r>
          </w:p>
        </w:tc>
        <w:tc>
          <w:tcPr>
            <w:tcW w:w="2275" w:type="dxa"/>
            <w:shd w:val="clear" w:color="auto" w:fill="D9E2F3" w:themeFill="accent1" w:themeFillTint="33"/>
          </w:tcPr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Správa dokumentů – plnění právní povinnosti, evidence došlé a odchozí pošty, evidence, předávání, vyřizování a ukládání dokumentů v rámci spisové služby dle zákona č. 499/2004 Sb., o archivnictví a spisové službě </w:t>
            </w:r>
          </w:p>
          <w:p w:rsidR="00AF0B0A" w:rsidRPr="009A7FC0" w:rsidRDefault="00AF0B0A" w:rsidP="00AF0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D9E2F3" w:themeFill="accent1" w:themeFillTint="33"/>
          </w:tcPr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t>Plnění právní povinnosti ve smyslu čl. 6 odst. 1 písm. c) GDPR</w:t>
            </w: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D9E2F3" w:themeFill="accent1" w:themeFillTint="33"/>
          </w:tcPr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t xml:space="preserve">Skartační znaky pro jednotlivé agendy, </w:t>
            </w: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skartační řízení – A5.</w:t>
            </w:r>
            <w:r w:rsidRPr="009A7F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F0B0A" w:rsidRPr="009A7FC0" w:rsidTr="008A7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FFFFFF" w:themeFill="background1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 w:rsidRPr="009A7FC0">
              <w:rPr>
                <w:rFonts w:cstheme="minorHAnsi"/>
                <w:b w:val="0"/>
                <w:sz w:val="20"/>
                <w:szCs w:val="20"/>
              </w:rPr>
              <w:t>Vyřizování dožádání orgánů veřejné moci</w:t>
            </w:r>
          </w:p>
        </w:tc>
        <w:tc>
          <w:tcPr>
            <w:tcW w:w="2275" w:type="dxa"/>
            <w:shd w:val="clear" w:color="auto" w:fill="FFFFFF" w:themeFill="background1"/>
          </w:tcPr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t xml:space="preserve">Vyřizování specifických žádostí (dožádání) ze strany orgánů veřejné moci v souladu s právními předpisy – např. </w:t>
            </w:r>
            <w:proofErr w:type="gramStart"/>
            <w:r w:rsidRPr="009A7FC0">
              <w:rPr>
                <w:rFonts w:asciiTheme="minorHAnsi" w:hAnsiTheme="minorHAnsi"/>
                <w:sz w:val="20"/>
                <w:szCs w:val="20"/>
              </w:rPr>
              <w:t>dle</w:t>
            </w:r>
            <w:proofErr w:type="gramEnd"/>
            <w:r w:rsidRPr="009A7F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§ 128 </w:t>
            </w: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zákona č. 99/1963 Sb., občanský soudní řád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zákona č. 141/1961 Sb., trestní řád (§ 8 odst. 1), 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zákona č. 99/1963 Sb., občanský soudní řád (§ 128),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zákona č. 500/2004 Sb., správní řád (§ 137 odst. 1, odst. 2),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zákona č. 273/2008 Sb., o Policii ČR (§ 114)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shd w:val="clear" w:color="auto" w:fill="FFFFFF" w:themeFill="background1"/>
          </w:tcPr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lastRenderedPageBreak/>
              <w:t>Plnění právní povinnosti ve smyslu čl. 6 odst. 1 písm. c) GDPR</w:t>
            </w:r>
          </w:p>
        </w:tc>
        <w:tc>
          <w:tcPr>
            <w:tcW w:w="2264" w:type="dxa"/>
            <w:shd w:val="clear" w:color="auto" w:fill="FFFFFF" w:themeFill="background1"/>
          </w:tcPr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t>Dožádání – V10.</w:t>
            </w:r>
          </w:p>
        </w:tc>
      </w:tr>
      <w:tr w:rsidR="00AF0B0A" w:rsidRPr="009A7FC0" w:rsidTr="00CE6045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 w:val="restart"/>
            <w:shd w:val="clear" w:color="auto" w:fill="D9E2F3" w:themeFill="accent1" w:themeFillTint="33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lastRenderedPageBreak/>
              <w:t>Provozování internetových stránek, zveřejňování fotografií z akcí školy, propagace a informování o činnosti</w:t>
            </w:r>
          </w:p>
        </w:tc>
        <w:tc>
          <w:tcPr>
            <w:tcW w:w="2275" w:type="dxa"/>
            <w:shd w:val="clear" w:color="auto" w:fill="D9E2F3" w:themeFill="accent1" w:themeFillTint="33"/>
          </w:tcPr>
          <w:p w:rsidR="00AF0B0A" w:rsidRPr="006778C1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78C1">
              <w:rPr>
                <w:rFonts w:asciiTheme="minorHAnsi" w:hAnsiTheme="minorHAnsi"/>
                <w:sz w:val="20"/>
                <w:szCs w:val="20"/>
              </w:rPr>
              <w:t>Prezentace Správce na svých internetových stránkách a v tisku, informování o kontaktech na zaměstnance Správce. Propagace slušného chování a slušných způsobů společenského chování a mezilidských vztahů v rámci šk</w:t>
            </w:r>
            <w:r>
              <w:rPr>
                <w:rFonts w:asciiTheme="minorHAnsi" w:hAnsiTheme="minorHAnsi"/>
                <w:sz w:val="20"/>
                <w:szCs w:val="20"/>
              </w:rPr>
              <w:t>olní výuky i výchovy mimoškolní.</w:t>
            </w:r>
          </w:p>
          <w:p w:rsidR="00AF0B0A" w:rsidRPr="006778C1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D9E2F3" w:themeFill="accent1" w:themeFillTint="33"/>
          </w:tcPr>
          <w:p w:rsidR="00AF0B0A" w:rsidRPr="006778C1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Zveřejňování fotografií žáků, rodičů, učitelů, návštěv a</w:t>
            </w:r>
            <w:r w:rsidRPr="0041659D">
              <w:rPr>
                <w:rFonts w:asciiTheme="minorHAnsi" w:hAnsiTheme="minorHAnsi"/>
                <w:sz w:val="20"/>
                <w:szCs w:val="20"/>
              </w:rPr>
              <w:t xml:space="preserve"> u žáků dále jmén</w:t>
            </w:r>
            <w:r>
              <w:rPr>
                <w:rFonts w:asciiTheme="minorHAnsi" w:hAnsiTheme="minorHAnsi"/>
                <w:sz w:val="20"/>
                <w:szCs w:val="20"/>
              </w:rPr>
              <w:t>o,</w:t>
            </w:r>
            <w:r w:rsidRPr="0041659D">
              <w:rPr>
                <w:rFonts w:asciiTheme="minorHAnsi" w:hAnsiTheme="minorHAnsi"/>
                <w:sz w:val="20"/>
                <w:szCs w:val="20"/>
              </w:rPr>
              <w:t xml:space="preserve"> příjmení a doprovodné </w:t>
            </w:r>
          </w:p>
          <w:p w:rsidR="00AF0B0A" w:rsidRPr="006778C1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659D">
              <w:rPr>
                <w:rFonts w:asciiTheme="minorHAnsi" w:hAnsiTheme="minorHAnsi"/>
                <w:sz w:val="20"/>
                <w:szCs w:val="20"/>
              </w:rPr>
              <w:t>Informa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ce nespadá podle </w:t>
            </w:r>
            <w:r w:rsidRPr="0041659D">
              <w:rPr>
                <w:rFonts w:asciiTheme="minorHAnsi" w:hAnsiTheme="minorHAnsi"/>
                <w:sz w:val="20"/>
                <w:szCs w:val="20"/>
              </w:rPr>
              <w:t>stanovisk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41659D">
              <w:rPr>
                <w:rFonts w:asciiTheme="minorHAnsi" w:hAnsiTheme="minorHAnsi"/>
                <w:sz w:val="20"/>
                <w:szCs w:val="20"/>
              </w:rPr>
              <w:t xml:space="preserve">ÚOOÚ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problematiky </w:t>
            </w:r>
            <w:r w:rsidRPr="0041659D">
              <w:rPr>
                <w:rFonts w:asciiTheme="minorHAnsi" w:hAnsiTheme="minorHAnsi"/>
                <w:sz w:val="20"/>
                <w:szCs w:val="20"/>
              </w:rPr>
              <w:t xml:space="preserve">ochrany osobních </w:t>
            </w:r>
            <w:r>
              <w:rPr>
                <w:sz w:val="20"/>
                <w:szCs w:val="20"/>
              </w:rPr>
              <w:t>údajů</w:t>
            </w:r>
            <w:r>
              <w:rPr>
                <w:rStyle w:val="Znakapoznpodarou"/>
                <w:sz w:val="20"/>
                <w:szCs w:val="20"/>
              </w:rPr>
              <w:footnoteReference w:id="1"/>
            </w:r>
          </w:p>
        </w:tc>
        <w:tc>
          <w:tcPr>
            <w:tcW w:w="2264" w:type="dxa"/>
            <w:shd w:val="clear" w:color="auto" w:fill="D9E2F3" w:themeFill="accent1" w:themeFillTint="33"/>
          </w:tcPr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 dobu nezbytně nutnou vzhledem k deklarovanému účelu.</w:t>
            </w:r>
          </w:p>
        </w:tc>
      </w:tr>
      <w:tr w:rsidR="00AF0B0A" w:rsidRPr="009A7FC0" w:rsidTr="00CE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</w:tcPr>
          <w:p w:rsidR="00AF0B0A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75" w:type="dxa"/>
          </w:tcPr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Zveřejnění základních kontaktních údajů zaměstnanců na internetových stránkách Správce pro zajištění kontaktu mezi zákonnými zástupci a pedagogy. </w:t>
            </w:r>
          </w:p>
        </w:tc>
        <w:tc>
          <w:tcPr>
            <w:tcW w:w="2258" w:type="dxa"/>
          </w:tcPr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778C1">
              <w:rPr>
                <w:rFonts w:asciiTheme="minorHAnsi" w:hAnsiTheme="minorHAnsi"/>
                <w:sz w:val="20"/>
                <w:szCs w:val="20"/>
              </w:rPr>
              <w:t>Zpracování nezbytné pro oprávněné zájmy správce osobních údajů – čl. 6 odst. 1 písm. f) GDPR.</w:t>
            </w:r>
          </w:p>
        </w:tc>
        <w:tc>
          <w:tcPr>
            <w:tcW w:w="2264" w:type="dxa"/>
          </w:tcPr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 dobu trvání potřeby zveřejnit kontaktní údaje, nejdéle po dobu trvání pracovního poměru zaměstnance.</w:t>
            </w:r>
          </w:p>
        </w:tc>
      </w:tr>
      <w:tr w:rsidR="00AF0B0A" w:rsidRPr="009A7FC0" w:rsidTr="008A7C6F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FFFFFF" w:themeFill="background1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 w:rsidRPr="009A7FC0">
              <w:rPr>
                <w:rFonts w:cstheme="minorHAnsi"/>
                <w:b w:val="0"/>
                <w:sz w:val="20"/>
                <w:szCs w:val="20"/>
              </w:rPr>
              <w:t>Přijímací řízení</w:t>
            </w:r>
          </w:p>
        </w:tc>
        <w:tc>
          <w:tcPr>
            <w:tcW w:w="2275" w:type="dxa"/>
            <w:shd w:val="clear" w:color="auto" w:fill="FFFFFF" w:themeFill="background1"/>
          </w:tcPr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Zajištění organizace přijímacího řízení – plnění právních povinností podle § 60a odst. 2 a 3, § 16, 17, § 20, § 60d odst. 1, § 183 zákona č. 561/2004 Sb., školský zákon, </w:t>
            </w: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 xml:space="preserve">zákon č. 373/ 2011 Sb., o specifických zdravotních službách, vyhláška č. 98/2012 Sb., o zdravotnické dokumentaci, § 37 odst. 2 zákona č. 500/2004 Sb., správní </w:t>
            </w:r>
            <w:proofErr w:type="gramStart"/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řád,</w:t>
            </w: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§ 1 odst.</w:t>
            </w:r>
            <w:proofErr w:type="gramEnd"/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 xml:space="preserve">2 vyhlášky č. 353/2016 Sb., o přijímacím řízení ke střednímu vzdělávání, </w:t>
            </w: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vyhláška č. 27/2016 Sb., o vzdělávání žáků se speciálními vzdělávacími potřebami a žáků nadaných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Organizace přijímacího řízení – plnění právních povinností podle § 60e odst. 1 a 2, § 60g, § 183 zákona č. 561/2004 Sb., školský zákon, §1 odst. 2, § 17 vyhlášky č. 353/2016 Sb., o přijímacím řízení ke střednímu vzdělávání a příloha k této vyhlášce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§ 60g zákona č. 561/2004 Sb., školský zákon, § 17 a Příloha vyhlášky č. 353/2016 Sb., o přijímacím řízení ke střednímu vzdělávání a příloha k této vyhlášce</w:t>
            </w: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Článek 6 odst. 1 písm. c) GDPR – plnění právní povinnosti</w:t>
            </w:r>
            <w:r w:rsidRPr="009A7F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shd w:val="clear" w:color="auto" w:fill="FFFFFF" w:themeFill="background1"/>
          </w:tcPr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Přijetí ke vzdělání (přihláška) - 10 let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Žádost o přijetí / přestup – 10 let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Ostatní spisy správního řízení – kat. S/10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Přijetí ke vzdělání (rozhodnutí) – 10 let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Zápisový lístek – 10 let</w:t>
            </w:r>
          </w:p>
        </w:tc>
      </w:tr>
      <w:tr w:rsidR="00AF0B0A" w:rsidRPr="009A7FC0" w:rsidTr="00070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 w:rsidRPr="009A7FC0">
              <w:rPr>
                <w:rFonts w:cstheme="minorHAnsi"/>
                <w:b w:val="0"/>
                <w:sz w:val="20"/>
                <w:szCs w:val="20"/>
              </w:rPr>
              <w:lastRenderedPageBreak/>
              <w:t>Vedení evidence studentů (školní matrika)</w:t>
            </w:r>
          </w:p>
        </w:tc>
        <w:tc>
          <w:tcPr>
            <w:tcW w:w="2275" w:type="dxa"/>
          </w:tcPr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Plnění právních povinností, vyplývajících ze školského zákona – vedení evidence žáků (školní matrika) podle § 28 odst. 1 písm. b) zákona č. 561/2004 Sb., školský zákon</w:t>
            </w:r>
            <w:r w:rsidRPr="009A7F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</w:tcPr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Článek 6 odst. 1 písm. c) GDPR – plnění právní povinnosti</w:t>
            </w:r>
            <w:r w:rsidRPr="009A7F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</w:tcPr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t>50 let v souladu se zákonem č. 499/2004 Sb.</w:t>
            </w:r>
          </w:p>
        </w:tc>
      </w:tr>
      <w:tr w:rsidR="00AF0B0A" w:rsidRPr="009A7FC0" w:rsidTr="0007055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FFFFFF" w:themeFill="background1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 w:rsidRPr="009A7FC0">
              <w:rPr>
                <w:rFonts w:cstheme="minorHAnsi"/>
                <w:b w:val="0"/>
                <w:sz w:val="20"/>
                <w:szCs w:val="20"/>
              </w:rPr>
              <w:t>Vedení záznamů o poskytovaném vzdělávání</w:t>
            </w:r>
          </w:p>
        </w:tc>
        <w:tc>
          <w:tcPr>
            <w:tcW w:w="2275" w:type="dxa"/>
            <w:shd w:val="clear" w:color="auto" w:fill="FFFFFF" w:themeFill="background1"/>
          </w:tcPr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Plnění právních povinností vyplývajících ze školského zákona – § 28 odst. 1 písm. f) zákona č. 561/2004 Sb., školský zákon</w:t>
            </w:r>
            <w:r w:rsidRPr="009A7F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Zajištění vnitřní organizace v souladu s vnitřními organizačními předpisy správce dle § 30 odst. 1 písm. a) a b) zákona č. 561/2004 Sb., školský zákon</w:t>
            </w: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Plnění právních povinností vyplývajících ze školského zákona – § 16, § 28 zákona č. 561/2004 Sb., školský zákon, § 14 odst. 1 a § 15 odst. 2 vyhlášky č. 27/2016 Sb., </w:t>
            </w: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o vzdělávání žáků se speciálními vzdělávacími potřebami a žáků nadaných</w:t>
            </w: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Článek 6 odst. 1 písm. c) GDPR – plnění právní povinnosti</w:t>
            </w:r>
          </w:p>
        </w:tc>
        <w:tc>
          <w:tcPr>
            <w:tcW w:w="2264" w:type="dxa"/>
            <w:shd w:val="clear" w:color="auto" w:fill="FFFFFF" w:themeFill="background1"/>
          </w:tcPr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Třídní knihy – 10 let, avšak jde o archiválii podle bodu 16 přílohy </w:t>
            </w:r>
            <w:proofErr w:type="gramStart"/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č. 2 zákona</w:t>
            </w:r>
            <w:proofErr w:type="gramEnd"/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č. 499/2004 Sb., o archivnictví a spisové službě, kterou je nezbytné vždy předložit pro posouzení k výběru za trvalé archiválie, Kniha návštěv – 5 let, Dokument ŠPZ – po dobu uchování ve školní matrice</w:t>
            </w: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0B0A" w:rsidRPr="009A7FC0" w:rsidTr="00070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  <w:highlight w:val="yellow"/>
              </w:rPr>
            </w:pPr>
            <w:r w:rsidRPr="009A7FC0">
              <w:rPr>
                <w:rFonts w:cstheme="minorHAnsi"/>
                <w:b w:val="0"/>
                <w:sz w:val="20"/>
                <w:szCs w:val="20"/>
                <w:highlight w:val="yellow"/>
              </w:rPr>
              <w:lastRenderedPageBreak/>
              <w:t>Zajištění odborné praxe</w:t>
            </w:r>
          </w:p>
        </w:tc>
        <w:tc>
          <w:tcPr>
            <w:tcW w:w="2275" w:type="dxa"/>
          </w:tcPr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Zajištění organizace středního vzdělávání a plnění právních povinností podle §</w:t>
            </w: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 xml:space="preserve"> 65 odst. 2 a 3 zákona č. 561/2004 Sb., školský zákon, § 12 a § 13 vyhlášky č. 13/2005 Sb., o středním vzdělávání a vzdělávání v konzervatoři, § 391 zákona č. 262/2006 Sb., zákoník práce </w:t>
            </w:r>
          </w:p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</w:tcPr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t>Plnění právní povinnosti podle čl. 6 odst. 1 písm. c) GDPR</w:t>
            </w:r>
          </w:p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t>Nezbytné zpracování pro plnění smlouvy (čl. 6 odst. 1 písm. b) GDPR)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Smlouva o zajištění odborné praxe – 10 let</w:t>
            </w:r>
          </w:p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F0B0A" w:rsidRPr="009A7FC0" w:rsidTr="00CE6045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FFFFFF" w:themeFill="background1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  <w:highlight w:val="yellow"/>
              </w:rPr>
            </w:pPr>
            <w:r w:rsidRPr="009A7FC0">
              <w:rPr>
                <w:rFonts w:cstheme="minorHAnsi"/>
                <w:b w:val="0"/>
                <w:sz w:val="20"/>
                <w:szCs w:val="20"/>
              </w:rPr>
              <w:t xml:space="preserve">Ostatní pedagogicko-správní činnost (organizace vzdělávání, poskytování informací o vzdělávání, vydávání potvrzení, vyřizování žádostí apod.) </w:t>
            </w:r>
          </w:p>
        </w:tc>
        <w:tc>
          <w:tcPr>
            <w:tcW w:w="2275" w:type="dxa"/>
            <w:shd w:val="clear" w:color="auto" w:fill="FFFFFF" w:themeFill="background1"/>
          </w:tcPr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Zajištění organizace vzdělávání a plnění právních povinností podle § 50, odst. 2 a § 164 odst. 1 školského zákona a zákon č. 373/2011 Sb.,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vyhláška č. 98/2012 Sb. příloha č. 1 část 9, 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§ 17, 18 a § 164 školského zákona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t>Plnění právní povinnosti podle čl. 6 odst. 1 písm. c) GDPR</w:t>
            </w: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Potvrzení o době studia – S3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Protokol o komisionálních zkouškách – 5 let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Záznam o předání informací o vzdělávání – 1 rok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Orientační testování na přítomnost omamných a psychotropních látek – 5 let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Seznámení se školním řádem a ŠVP – 5 let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Evidence stížností žáků, zákonných zástupců, zaměstnanců – V/5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Auto evaluace – kat. V/5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Záznamy z kontrol a inspekcí České školní inspekce, Úřadu práce, finančního úřadu aj. – kat. V/5.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Zápisy z porad – kat. V/5,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Posudek zdravotní způsobilosti pro účely pořádání ozdravného pobytu, zajištění výuky plavání, uvolnění žáka z TV 5 let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Výroční zprávy – 10 let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Školní řád – A5 </w:t>
            </w: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Rozvrh hodin – S1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F0B0A" w:rsidRPr="009A7FC0" w:rsidTr="00070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 w:rsidRPr="009A7FC0">
              <w:rPr>
                <w:rFonts w:cstheme="minorHAnsi"/>
                <w:b w:val="0"/>
                <w:sz w:val="20"/>
                <w:szCs w:val="20"/>
              </w:rPr>
              <w:lastRenderedPageBreak/>
              <w:t>Ukončení vzdělávání</w:t>
            </w:r>
          </w:p>
        </w:tc>
        <w:tc>
          <w:tcPr>
            <w:tcW w:w="2275" w:type="dxa"/>
          </w:tcPr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Zajištění řádného ukončení vzdělávání, organizace vzdělávání a plnění právních povinností podle </w:t>
            </w: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§ 28 školského zákona, § 1 odst. 2 a příloha č. 4 vyhlášky č. 3/2015 Sb.</w:t>
            </w: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§ 81 odst. 1 ŠZ, § 4 a příloha č. 1 vyhlášky č. 177/2009 Sb.,</w:t>
            </w: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§ 113 odst. 2 ŠZ a § 48 odst. 2 a Příloha č. 1a vyhlášky č. 177/2009 Sb.</w:t>
            </w: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§ 16 odst. 2 písm. c) a § 81 odst. 11 ŠZ a § 20 odst. 2 a 3 a Příloha č. 3a vyhlášky č. 177/2009 Sb.</w:t>
            </w: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§ 29 a § 29a a Příloha č. 4 vyhlášky č. 177/2009 Sb.</w:t>
            </w: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§ 31 vyhlášky č. 177/2009 Sb.</w:t>
            </w: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§ 48 odst. 7 a § 49 odst. 7 a Příloha č. 5 vyhlášky č. 177/2009 Sb.</w:t>
            </w: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9A7FC0">
              <w:rPr>
                <w:rFonts w:asciiTheme="minorHAnsi" w:hAnsiTheme="minorHAnsi" w:cstheme="minorHAnsi"/>
                <w:sz w:val="20"/>
                <w:szCs w:val="20"/>
              </w:rPr>
              <w:t>§ 82 odst. 1 písm. b) ŠZ a § 90 odst. 2 a § 102 odst. 9 ŠZ, příloha č. 7 vyhlášky č. 177/2009 Sb.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</w:tcPr>
          <w:p w:rsidR="00AF0B0A" w:rsidRPr="009A7FC0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t>Plnění právní povinnosti podle čl. 6 odst. 1 písm. c) GDPR</w:t>
            </w:r>
          </w:p>
        </w:tc>
        <w:tc>
          <w:tcPr>
            <w:tcW w:w="2264" w:type="dxa"/>
          </w:tcPr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Protokol o výsledcích zkoušek – 50 let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Osvědčení o jednotlivé zkoušce – 50 let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Vysvědčení o závěrečné zkoušce – 50 let 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Vysvědčení o MZ – 50 let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Vysvědčení o závěrečné zkoušce a výuční list – 50 let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Přihláška k MZ a přihláška k jednotlivé zkoušce, která odpovídá zkoušce společné části MZ – 45 let (vyhláška č. 177/2009 Sb.)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Žádost o přezkoumání výsledku a průběhu závěrečné zkoušky, maturitní zkoušky vyjma zkoušky konané formou DT, zkoušky, která byla součástí absolutoria nebo absolutoria v konzervatoři – 3 roky</w:t>
            </w:r>
          </w:p>
          <w:p w:rsidR="00AF0B0A" w:rsidRPr="00E60955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Žádost o vydání duplikátu závěrečného, maturitního vysvědčení, vysvědčení o absolutoriu – 10 let</w:t>
            </w:r>
          </w:p>
          <w:p w:rsidR="00AF0B0A" w:rsidRPr="009A7FC0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F0B0A" w:rsidRPr="009A7FC0" w:rsidTr="00CE6045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FFFFFF" w:themeFill="background1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  <w:highlight w:val="yellow"/>
              </w:rPr>
            </w:pPr>
            <w:r w:rsidRPr="009A7FC0">
              <w:rPr>
                <w:rFonts w:cstheme="minorHAnsi"/>
                <w:b w:val="0"/>
                <w:sz w:val="20"/>
                <w:szCs w:val="20"/>
                <w:highlight w:val="yellow"/>
              </w:rPr>
              <w:t>Domov mládeže</w:t>
            </w:r>
          </w:p>
        </w:tc>
        <w:tc>
          <w:tcPr>
            <w:tcW w:w="2275" w:type="dxa"/>
            <w:shd w:val="clear" w:color="auto" w:fill="FFFFFF" w:themeFill="background1"/>
          </w:tcPr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Účelem je poskytovat studentům ubytování, výchovu a vzdělávání navazující na výchovně vzdělávací činnost škol a zajišťovat jim stravování. Výchova a vzdělávání v DM se uskutečňuje podle školního vzdělávacího programu DM a zahrnuje i záměr vést žáky a </w:t>
            </w: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studenty k plnohodnotnému využívání volného času formou zájmových činností, a to v souladu s § 28 odst. 3 zákona č. 564/2004 Sb., školský zákon.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sz w:val="20"/>
                <w:szCs w:val="20"/>
              </w:rPr>
              <w:lastRenderedPageBreak/>
              <w:t>Plnění právní povinnosti podle čl. 6 odst. 1 písm. c) GDPR</w:t>
            </w: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Článek 6 odst. 1 písm. b) GDPR – zpracování nezbytné pro plnění smlouvy</w:t>
            </w: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Osobní spis žáka – S10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Přihláška do domova mládeže – S5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Denní záznam – S5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Záznam o školním úraze - těžké smrtelné/ostatní – V10/S10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Kniha úrazů – A5</w:t>
            </w:r>
          </w:p>
          <w:p w:rsidR="00AF0B0A" w:rsidRPr="009A7FC0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Deník výchovné skupiny – S10</w:t>
            </w:r>
          </w:p>
        </w:tc>
      </w:tr>
      <w:tr w:rsidR="00AF0B0A" w:rsidRPr="009A7FC0" w:rsidTr="00070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:rsidR="00AF0B0A" w:rsidRPr="006778C1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  <w:highlight w:val="yellow"/>
              </w:rPr>
            </w:pPr>
            <w:r w:rsidRPr="006778C1">
              <w:rPr>
                <w:rFonts w:cstheme="minorHAnsi"/>
                <w:b w:val="0"/>
                <w:sz w:val="20"/>
                <w:szCs w:val="20"/>
                <w:highlight w:val="yellow"/>
              </w:rPr>
              <w:lastRenderedPageBreak/>
              <w:t xml:space="preserve">Kamerové systémy </w:t>
            </w:r>
          </w:p>
        </w:tc>
        <w:tc>
          <w:tcPr>
            <w:tcW w:w="2275" w:type="dxa"/>
          </w:tcPr>
          <w:p w:rsidR="00AF0B0A" w:rsidRPr="006778C1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778C1">
              <w:rPr>
                <w:rFonts w:asciiTheme="minorHAnsi" w:hAnsiTheme="minorHAnsi"/>
                <w:sz w:val="20"/>
                <w:szCs w:val="20"/>
              </w:rPr>
              <w:t>Zajištění bezpečnosti a ochrana zdraví. Ochrana majetku Správce.</w:t>
            </w:r>
          </w:p>
          <w:p w:rsidR="00AF0B0A" w:rsidRPr="006778C1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</w:tcPr>
          <w:p w:rsidR="00AF0B0A" w:rsidRPr="006778C1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778C1">
              <w:rPr>
                <w:rFonts w:asciiTheme="minorHAnsi" w:hAnsiTheme="minorHAnsi"/>
                <w:sz w:val="20"/>
                <w:szCs w:val="20"/>
              </w:rPr>
              <w:t>Zpracování nezbytné pro oprávněné zájmy správce osobních údajů – čl. 6 odst. 1 písm. f) GDPR.</w:t>
            </w:r>
          </w:p>
          <w:p w:rsidR="00AF0B0A" w:rsidRPr="006778C1" w:rsidRDefault="00AF0B0A" w:rsidP="00A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4" w:type="dxa"/>
          </w:tcPr>
          <w:p w:rsidR="00AF0B0A" w:rsidRPr="006778C1" w:rsidRDefault="00AF0B0A" w:rsidP="00A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78C1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 xml:space="preserve">3 dny / bez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ukl</w:t>
            </w:r>
            <w:r w:rsidRPr="006778C1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á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d</w:t>
            </w:r>
            <w:r w:rsidRPr="006778C1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ání záznamů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0B0A" w:rsidRPr="009A7FC0" w:rsidTr="00AF0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:rsidR="00AF0B0A" w:rsidRPr="009A7FC0" w:rsidRDefault="00AF0B0A" w:rsidP="00AF0B0A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 w:rsidRPr="009A7FC0">
              <w:rPr>
                <w:rFonts w:cstheme="minorHAnsi"/>
                <w:b w:val="0"/>
                <w:sz w:val="20"/>
                <w:szCs w:val="20"/>
              </w:rPr>
              <w:t xml:space="preserve">Agenda účetnictví,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tvorba a </w:t>
            </w:r>
            <w:r w:rsidRPr="009A7FC0">
              <w:rPr>
                <w:rFonts w:cstheme="minorHAnsi"/>
                <w:b w:val="0"/>
                <w:sz w:val="20"/>
                <w:szCs w:val="20"/>
              </w:rPr>
              <w:t>evidence smluv a smluvních dodavatelů</w:t>
            </w:r>
          </w:p>
        </w:tc>
        <w:tc>
          <w:tcPr>
            <w:tcW w:w="2275" w:type="dxa"/>
          </w:tcPr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7F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Komunikace s</w:t>
            </w:r>
            <w:r w:rsidR="00CE60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 smluvními partnery</w:t>
            </w:r>
            <w:r w:rsidRPr="009A7F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kontrola plnění a dodržování smluvních závazků</w:t>
            </w:r>
            <w:r w:rsidRPr="009A7FC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9A7F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plnění zákonných povinností – např. archivace účetních dokladů dle zákona č. 563/1991 Sb., o účetnictví (§ 9 odst. 1, § 11, § 12, § 13, § 31), uchování smluv pro kontrolu hospodaření ze strany orgánů veřejné moci</w:t>
            </w:r>
          </w:p>
          <w:p w:rsidR="00AF0B0A" w:rsidRPr="009A7FC0" w:rsidRDefault="00AF0B0A" w:rsidP="00AF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</w:tcPr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 xml:space="preserve">Čl. 6 odst. 1 písm. b) GDPR zpracování nezbytné pro plnění smluvní povinnosti </w:t>
            </w: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7FC0">
              <w:rPr>
                <w:rFonts w:cstheme="minorHAnsi"/>
                <w:sz w:val="20"/>
                <w:szCs w:val="20"/>
              </w:rPr>
              <w:t>Čl. 6 odst. 1 písm. c) GDPR plnění právní povinnosti</w:t>
            </w:r>
          </w:p>
        </w:tc>
        <w:tc>
          <w:tcPr>
            <w:tcW w:w="2264" w:type="dxa"/>
          </w:tcPr>
          <w:p w:rsidR="00AF0B0A" w:rsidRPr="00AF0B0A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Knihy došlých a vydaných faktur – S10</w:t>
            </w:r>
          </w:p>
          <w:p w:rsidR="00AF0B0A" w:rsidRPr="00AF0B0A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Přijaté faktury – S5</w:t>
            </w:r>
          </w:p>
          <w:p w:rsidR="00AF0B0A" w:rsidRPr="00AF0B0A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Pokladní kniha, peněžní deník – S10</w:t>
            </w:r>
          </w:p>
          <w:p w:rsidR="00AF0B0A" w:rsidRPr="00AF0B0A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Příjmové a výdajové pokladní doklady S5</w:t>
            </w:r>
          </w:p>
          <w:p w:rsidR="00AF0B0A" w:rsidRPr="00AF0B0A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0B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Výpis z bankovních účtů S5</w:t>
            </w:r>
          </w:p>
          <w:p w:rsidR="00AF0B0A" w:rsidRPr="00AF0B0A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B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Účetní evidence skladu materiálu, příjemky, výdejky S5</w:t>
            </w:r>
          </w:p>
          <w:p w:rsidR="00AF0B0A" w:rsidRPr="00AF0B0A" w:rsidRDefault="00AF0B0A" w:rsidP="00AF0B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B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Účetní knihy – hlavní, účetní doklady, účetní výkazy S10</w:t>
            </w:r>
          </w:p>
          <w:p w:rsidR="00AF0B0A" w:rsidRPr="009A7FC0" w:rsidRDefault="00AF0B0A" w:rsidP="00AF0B0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6045" w:rsidRPr="009A7FC0" w:rsidTr="00AF0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:rsidR="00CE6045" w:rsidRPr="00CE6045" w:rsidRDefault="00CE6045" w:rsidP="00CE6045">
            <w:pPr>
              <w:pStyle w:val="Bezmezer"/>
              <w:rPr>
                <w:rFonts w:cstheme="minorHAnsi"/>
                <w:b w:val="0"/>
                <w:sz w:val="20"/>
                <w:szCs w:val="20"/>
              </w:rPr>
            </w:pPr>
            <w:r w:rsidRPr="00CE6045">
              <w:rPr>
                <w:rFonts w:cstheme="minorHAnsi"/>
                <w:b w:val="0"/>
                <w:sz w:val="20"/>
                <w:szCs w:val="20"/>
              </w:rPr>
              <w:t>Agenda stravování</w:t>
            </w:r>
          </w:p>
        </w:tc>
        <w:tc>
          <w:tcPr>
            <w:tcW w:w="2275" w:type="dxa"/>
          </w:tcPr>
          <w:p w:rsidR="00CE6045" w:rsidRPr="00CE6045" w:rsidRDefault="00CE6045" w:rsidP="00CE6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6045">
              <w:rPr>
                <w:rFonts w:asciiTheme="minorHAnsi" w:hAnsiTheme="minorHAnsi"/>
                <w:sz w:val="20"/>
                <w:szCs w:val="20"/>
              </w:rPr>
              <w:t>Poskytování stravovacích služeb dle § 119 zákona č. 561/2004 Sb., školský zákon a vyhlášky č. 107/2005 Sb., o školním stravování.</w:t>
            </w:r>
          </w:p>
          <w:p w:rsidR="00CE6045" w:rsidRPr="00CE6045" w:rsidRDefault="00CE6045" w:rsidP="00CE6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</w:tcPr>
          <w:p w:rsidR="00CE6045" w:rsidRPr="00CE6045" w:rsidRDefault="00CE6045" w:rsidP="00CE604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6045">
              <w:rPr>
                <w:rFonts w:cstheme="minorHAnsi"/>
                <w:sz w:val="20"/>
                <w:szCs w:val="20"/>
              </w:rPr>
              <w:t xml:space="preserve">Čl. 6 odst. 1 písm. b) GDPR zpracování nezbytné pro plnění smluvní povinnosti </w:t>
            </w:r>
          </w:p>
          <w:p w:rsidR="00CE6045" w:rsidRPr="00CE6045" w:rsidRDefault="00CE6045" w:rsidP="00CE604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CE6045" w:rsidRPr="00CE6045" w:rsidRDefault="00CE6045" w:rsidP="00CE604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6045">
              <w:rPr>
                <w:rFonts w:cstheme="minorHAnsi"/>
                <w:sz w:val="20"/>
                <w:szCs w:val="20"/>
              </w:rPr>
              <w:t xml:space="preserve">Čl. 6 odst. 1 písm. c) GDPR plnění právní povinnosti </w:t>
            </w:r>
          </w:p>
        </w:tc>
        <w:tc>
          <w:tcPr>
            <w:tcW w:w="2264" w:type="dxa"/>
          </w:tcPr>
          <w:p w:rsidR="00CE6045" w:rsidRPr="00CE6045" w:rsidRDefault="00CE6045" w:rsidP="00CE60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E6045">
              <w:rPr>
                <w:rFonts w:asciiTheme="minorHAnsi" w:hAnsiTheme="minorHAnsi"/>
                <w:sz w:val="20"/>
                <w:szCs w:val="20"/>
              </w:rPr>
              <w:t>Přihlášky ke stravování – kat. S3</w:t>
            </w:r>
          </w:p>
        </w:tc>
      </w:tr>
    </w:tbl>
    <w:p w:rsidR="0017728E" w:rsidRDefault="0017728E" w:rsidP="008111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E6045" w:rsidRPr="009A7FC0" w:rsidRDefault="00CE6045" w:rsidP="0081111A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806BF6" w:rsidRPr="009A7FC0" w:rsidRDefault="00AF0B0A" w:rsidP="00102C9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</w:t>
      </w:r>
      <w:r w:rsidR="0081111A" w:rsidRPr="009A7FC0">
        <w:rPr>
          <w:rFonts w:asciiTheme="minorHAnsi" w:hAnsiTheme="minorHAnsi" w:cstheme="minorHAnsi"/>
          <w:b/>
          <w:sz w:val="20"/>
          <w:szCs w:val="20"/>
        </w:rPr>
        <w:t>říjemci osobních údajů</w:t>
      </w:r>
      <w:r>
        <w:rPr>
          <w:rFonts w:asciiTheme="minorHAnsi" w:hAnsiTheme="minorHAnsi" w:cstheme="minorHAnsi"/>
          <w:b/>
          <w:sz w:val="20"/>
          <w:szCs w:val="20"/>
        </w:rPr>
        <w:t>, jejich kategorie a</w:t>
      </w:r>
      <w:r w:rsidR="0034406E" w:rsidRPr="009A7FC0">
        <w:rPr>
          <w:rFonts w:asciiTheme="minorHAnsi" w:hAnsiTheme="minorHAnsi" w:cstheme="minorHAnsi"/>
          <w:b/>
          <w:sz w:val="20"/>
          <w:szCs w:val="20"/>
        </w:rPr>
        <w:t xml:space="preserve"> zpracovatelé </w:t>
      </w:r>
    </w:p>
    <w:p w:rsidR="00BB6699" w:rsidRPr="009A7FC0" w:rsidRDefault="001A0F33" w:rsidP="00F62BB8">
      <w:pPr>
        <w:pStyle w:val="Default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>K o</w:t>
      </w:r>
      <w:r w:rsidR="0081111A" w:rsidRPr="009A7FC0">
        <w:rPr>
          <w:rFonts w:asciiTheme="minorHAnsi" w:hAnsiTheme="minorHAnsi" w:cstheme="minorHAnsi"/>
          <w:sz w:val="20"/>
          <w:szCs w:val="20"/>
        </w:rPr>
        <w:t>sobní</w:t>
      </w:r>
      <w:r w:rsidRPr="009A7FC0">
        <w:rPr>
          <w:rFonts w:asciiTheme="minorHAnsi" w:hAnsiTheme="minorHAnsi" w:cstheme="minorHAnsi"/>
          <w:sz w:val="20"/>
          <w:szCs w:val="20"/>
        </w:rPr>
        <w:t>m údajům</w:t>
      </w:r>
      <w:r w:rsidR="00102C99" w:rsidRPr="009A7FC0">
        <w:rPr>
          <w:rFonts w:asciiTheme="minorHAnsi" w:hAnsiTheme="minorHAnsi" w:cstheme="minorHAnsi"/>
          <w:sz w:val="20"/>
          <w:szCs w:val="20"/>
        </w:rPr>
        <w:t xml:space="preserve"> </w:t>
      </w:r>
      <w:r w:rsidR="0081111A" w:rsidRPr="009A7FC0">
        <w:rPr>
          <w:rFonts w:asciiTheme="minorHAnsi" w:hAnsiTheme="minorHAnsi" w:cstheme="minorHAnsi"/>
          <w:sz w:val="20"/>
          <w:szCs w:val="20"/>
        </w:rPr>
        <w:t xml:space="preserve">mohou </w:t>
      </w:r>
      <w:r w:rsidRPr="009A7FC0">
        <w:rPr>
          <w:rFonts w:asciiTheme="minorHAnsi" w:hAnsiTheme="minorHAnsi" w:cstheme="minorHAnsi"/>
          <w:sz w:val="20"/>
          <w:szCs w:val="20"/>
        </w:rPr>
        <w:t>mít</w:t>
      </w:r>
      <w:r w:rsidR="0081111A" w:rsidRPr="009A7FC0">
        <w:rPr>
          <w:rFonts w:asciiTheme="minorHAnsi" w:hAnsiTheme="minorHAnsi" w:cstheme="minorHAnsi"/>
          <w:sz w:val="20"/>
          <w:szCs w:val="20"/>
        </w:rPr>
        <w:t xml:space="preserve"> </w:t>
      </w:r>
      <w:r w:rsidR="00AA281D" w:rsidRPr="009A7FC0">
        <w:rPr>
          <w:rFonts w:asciiTheme="minorHAnsi" w:hAnsiTheme="minorHAnsi" w:cstheme="minorHAnsi"/>
          <w:sz w:val="20"/>
          <w:szCs w:val="20"/>
        </w:rPr>
        <w:t>přístup i další osoby</w:t>
      </w:r>
      <w:r w:rsidR="00102C99" w:rsidRPr="009A7FC0">
        <w:rPr>
          <w:rFonts w:asciiTheme="minorHAnsi" w:hAnsiTheme="minorHAnsi" w:cstheme="minorHAnsi"/>
          <w:sz w:val="20"/>
          <w:szCs w:val="20"/>
        </w:rPr>
        <w:t xml:space="preserve"> než jen </w:t>
      </w:r>
      <w:r w:rsidR="00F62BB8">
        <w:rPr>
          <w:rFonts w:asciiTheme="minorHAnsi" w:hAnsiTheme="minorHAnsi" w:cstheme="minorHAnsi"/>
          <w:sz w:val="20"/>
          <w:szCs w:val="20"/>
        </w:rPr>
        <w:t>Správce osobních údajů</w:t>
      </w:r>
      <w:r w:rsidR="00102C99" w:rsidRPr="009A7FC0">
        <w:rPr>
          <w:rFonts w:asciiTheme="minorHAnsi" w:hAnsiTheme="minorHAnsi" w:cstheme="minorHAnsi"/>
          <w:sz w:val="20"/>
          <w:szCs w:val="20"/>
        </w:rPr>
        <w:t>.</w:t>
      </w:r>
      <w:r w:rsidR="00F62BB8">
        <w:rPr>
          <w:rFonts w:asciiTheme="minorHAnsi" w:hAnsiTheme="minorHAnsi" w:cstheme="minorHAnsi"/>
          <w:sz w:val="20"/>
          <w:szCs w:val="20"/>
        </w:rPr>
        <w:t xml:space="preserve"> Často mohou do osobních údajů nahlížet orgány veřejné moci, a to v rámci jim zákonem svěřené pravomoci – především při kontrolní a dozorové činnosti. Takovými příjemci jsou např. soudy, exekutoři, Policie ČR, Česká školní inspekce, zřizovatel školy, Státní úřad inspekce práce, finanční úřad, ČSSZ, OSSZ, Úřad práce, zdravotní pojišťovna apod. Dále m</w:t>
      </w:r>
      <w:r w:rsidR="009A1DF2" w:rsidRPr="009A7FC0">
        <w:rPr>
          <w:rFonts w:asciiTheme="minorHAnsi" w:hAnsiTheme="minorHAnsi" w:cstheme="minorHAnsi"/>
          <w:sz w:val="20"/>
          <w:szCs w:val="20"/>
        </w:rPr>
        <w:t xml:space="preserve">ůže </w:t>
      </w:r>
      <w:r w:rsidR="00F62BB8">
        <w:rPr>
          <w:rFonts w:asciiTheme="minorHAnsi" w:hAnsiTheme="minorHAnsi" w:cstheme="minorHAnsi"/>
          <w:sz w:val="20"/>
          <w:szCs w:val="20"/>
        </w:rPr>
        <w:t>docházet k případům, kdy za účelem zajištění nezbytných</w:t>
      </w:r>
      <w:r w:rsidR="00102C99" w:rsidRPr="009A7FC0">
        <w:rPr>
          <w:rFonts w:asciiTheme="minorHAnsi" w:hAnsiTheme="minorHAnsi" w:cstheme="minorHAnsi"/>
          <w:sz w:val="20"/>
          <w:szCs w:val="20"/>
        </w:rPr>
        <w:t xml:space="preserve"> </w:t>
      </w:r>
      <w:r w:rsidR="00F62BB8">
        <w:rPr>
          <w:rFonts w:asciiTheme="minorHAnsi" w:hAnsiTheme="minorHAnsi" w:cstheme="minorHAnsi"/>
          <w:sz w:val="20"/>
          <w:szCs w:val="20"/>
        </w:rPr>
        <w:t xml:space="preserve">vnitřních organizačních procesů Správce je nezbytné využít služeb externího subjektu. </w:t>
      </w:r>
      <w:r w:rsidRPr="009A7FC0">
        <w:rPr>
          <w:rFonts w:asciiTheme="minorHAnsi" w:hAnsiTheme="minorHAnsi" w:cstheme="minorHAnsi"/>
          <w:sz w:val="20"/>
          <w:szCs w:val="20"/>
        </w:rPr>
        <w:t xml:space="preserve">Jedná se </w:t>
      </w:r>
      <w:r w:rsidR="008A754B" w:rsidRPr="009A7FC0">
        <w:rPr>
          <w:rFonts w:asciiTheme="minorHAnsi" w:hAnsiTheme="minorHAnsi" w:cstheme="minorHAnsi"/>
          <w:sz w:val="20"/>
          <w:szCs w:val="20"/>
        </w:rPr>
        <w:t xml:space="preserve">např. </w:t>
      </w:r>
      <w:r w:rsidR="00CD39D2" w:rsidRPr="009A7FC0">
        <w:rPr>
          <w:rFonts w:asciiTheme="minorHAnsi" w:hAnsiTheme="minorHAnsi" w:cstheme="minorHAnsi"/>
          <w:sz w:val="20"/>
          <w:szCs w:val="20"/>
        </w:rPr>
        <w:t>o</w:t>
      </w:r>
      <w:r w:rsidR="00BB6699" w:rsidRPr="009A7FC0">
        <w:rPr>
          <w:rFonts w:asciiTheme="minorHAnsi" w:hAnsiTheme="minorHAnsi" w:cstheme="minorHAnsi"/>
          <w:sz w:val="20"/>
          <w:szCs w:val="20"/>
        </w:rPr>
        <w:t xml:space="preserve"> poskytovatele</w:t>
      </w:r>
      <w:r w:rsidR="00F62BB8">
        <w:rPr>
          <w:rFonts w:asciiTheme="minorHAnsi" w:hAnsiTheme="minorHAnsi" w:cstheme="minorHAnsi"/>
          <w:sz w:val="20"/>
          <w:szCs w:val="20"/>
        </w:rPr>
        <w:t xml:space="preserve"> stravovacího systémů, zpracovatele účetních služeb, využívání služeb externího poskytovatele IT služeb.</w:t>
      </w:r>
    </w:p>
    <w:p w:rsidR="00BB6699" w:rsidRPr="009A7FC0" w:rsidRDefault="00BB6699" w:rsidP="003745D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B6699" w:rsidRPr="009A7FC0" w:rsidRDefault="00BB6699" w:rsidP="00CD39D2">
      <w:pPr>
        <w:pStyle w:val="Default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>S každým zpracovatelem osobních údajů Správce uzavřel řádně smlouv</w:t>
      </w:r>
      <w:r w:rsidR="00D943B9">
        <w:rPr>
          <w:rFonts w:asciiTheme="minorHAnsi" w:hAnsiTheme="minorHAnsi" w:cstheme="minorHAnsi"/>
          <w:sz w:val="20"/>
          <w:szCs w:val="20"/>
        </w:rPr>
        <w:t>u</w:t>
      </w:r>
      <w:r w:rsidRPr="009A7FC0">
        <w:rPr>
          <w:rFonts w:asciiTheme="minorHAnsi" w:hAnsiTheme="minorHAnsi" w:cstheme="minorHAnsi"/>
          <w:sz w:val="20"/>
          <w:szCs w:val="20"/>
        </w:rPr>
        <w:t xml:space="preserve"> o zpracování osobních údajů, a to podle čl. 28 GDPR.</w:t>
      </w:r>
    </w:p>
    <w:p w:rsidR="00CD39D2" w:rsidRPr="009A7FC0" w:rsidRDefault="00CD39D2" w:rsidP="00BB669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02C99" w:rsidRPr="009A7FC0" w:rsidRDefault="00F62BB8" w:rsidP="00102C99">
      <w:pPr>
        <w:pStyle w:val="Default"/>
        <w:ind w:left="4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102C99" w:rsidRPr="009A7FC0">
        <w:rPr>
          <w:rFonts w:asciiTheme="minorHAnsi" w:hAnsiTheme="minorHAnsi" w:cstheme="minorHAnsi"/>
          <w:sz w:val="20"/>
          <w:szCs w:val="20"/>
        </w:rPr>
        <w:t xml:space="preserve">aše osobní údaje nepředáváme do třetích zemí ani mezinárodním organizacím. </w:t>
      </w:r>
    </w:p>
    <w:p w:rsidR="007552A6" w:rsidRPr="009A7FC0" w:rsidRDefault="007552A6" w:rsidP="00AF0B0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111A" w:rsidRPr="009A7FC0" w:rsidRDefault="00923C91" w:rsidP="008111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Práva subjektů osobních</w:t>
      </w:r>
      <w:r w:rsidR="0081111A" w:rsidRPr="009A7FC0">
        <w:rPr>
          <w:rFonts w:asciiTheme="minorHAnsi" w:hAnsiTheme="minorHAnsi" w:cstheme="minorHAnsi"/>
          <w:b/>
          <w:sz w:val="20"/>
          <w:szCs w:val="20"/>
        </w:rPr>
        <w:t xml:space="preserve"> údajů</w:t>
      </w:r>
    </w:p>
    <w:p w:rsidR="0081111A" w:rsidRPr="009A7FC0" w:rsidRDefault="0081111A" w:rsidP="0081111A">
      <w:pPr>
        <w:pStyle w:val="Default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 xml:space="preserve">Při zpracování osobních údajů </w:t>
      </w:r>
      <w:r w:rsidR="00405B57" w:rsidRPr="009A7FC0">
        <w:rPr>
          <w:rFonts w:asciiTheme="minorHAnsi" w:hAnsiTheme="minorHAnsi" w:cstheme="minorHAnsi"/>
          <w:sz w:val="20"/>
          <w:szCs w:val="20"/>
        </w:rPr>
        <w:t>má každý subjekt osobních údajů</w:t>
      </w:r>
      <w:r w:rsidRPr="009A7FC0">
        <w:rPr>
          <w:rFonts w:asciiTheme="minorHAnsi" w:hAnsiTheme="minorHAnsi" w:cstheme="minorHAnsi"/>
          <w:sz w:val="20"/>
          <w:szCs w:val="20"/>
        </w:rPr>
        <w:t xml:space="preserve"> následující práva týkající se ochrany svých údajů</w:t>
      </w:r>
      <w:r w:rsidR="00923C91">
        <w:rPr>
          <w:rFonts w:asciiTheme="minorHAnsi" w:hAnsiTheme="minorHAnsi" w:cstheme="minorHAnsi"/>
          <w:sz w:val="20"/>
          <w:szCs w:val="20"/>
        </w:rPr>
        <w:t>, a to</w:t>
      </w:r>
      <w:r w:rsidR="00405B57" w:rsidRPr="009A7FC0">
        <w:rPr>
          <w:rFonts w:asciiTheme="minorHAnsi" w:hAnsiTheme="minorHAnsi" w:cstheme="minorHAnsi"/>
          <w:sz w:val="20"/>
          <w:szCs w:val="20"/>
        </w:rPr>
        <w:t xml:space="preserve"> podle čl. 12 a násl. GDPR</w:t>
      </w:r>
      <w:r w:rsidRPr="009A7FC0">
        <w:rPr>
          <w:rFonts w:asciiTheme="minorHAnsi" w:hAnsiTheme="minorHAnsi" w:cstheme="minorHAnsi"/>
          <w:sz w:val="20"/>
          <w:szCs w:val="20"/>
        </w:rPr>
        <w:t>:</w:t>
      </w:r>
    </w:p>
    <w:p w:rsidR="00E44426" w:rsidRPr="009A7FC0" w:rsidRDefault="00C21C40" w:rsidP="00E4442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>p</w:t>
      </w:r>
      <w:r w:rsidR="00E44426" w:rsidRPr="009A7FC0">
        <w:rPr>
          <w:rFonts w:asciiTheme="minorHAnsi" w:hAnsiTheme="minorHAnsi" w:cstheme="minorHAnsi"/>
          <w:sz w:val="20"/>
          <w:szCs w:val="20"/>
        </w:rPr>
        <w:t>rávo na transparentní informace a náležitá sdělení (čl. 12 GDPR);</w:t>
      </w:r>
    </w:p>
    <w:p w:rsidR="00C21C40" w:rsidRPr="009A7FC0" w:rsidRDefault="00C21C40" w:rsidP="00C21C40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>v případě, že pro zpracování osobních údajů byl od Subjektu požadován souhlas se zpracováním ve smyslu čl. 6 odst. 1 písm. a) a čl. 7 GDPR, má Subjekt právo souhlas odvolat;</w:t>
      </w:r>
    </w:p>
    <w:p w:rsidR="0081111A" w:rsidRPr="009A7FC0" w:rsidRDefault="00405B57" w:rsidP="00E4442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 xml:space="preserve">právo požadovat </w:t>
      </w:r>
      <w:r w:rsidR="0081111A" w:rsidRPr="009A7FC0">
        <w:rPr>
          <w:rFonts w:asciiTheme="minorHAnsi" w:hAnsiTheme="minorHAnsi" w:cstheme="minorHAnsi"/>
          <w:bCs/>
          <w:sz w:val="20"/>
          <w:szCs w:val="20"/>
        </w:rPr>
        <w:t>přístup k</w:t>
      </w:r>
      <w:r w:rsidRPr="009A7FC0">
        <w:rPr>
          <w:rFonts w:asciiTheme="minorHAnsi" w:hAnsiTheme="minorHAnsi" w:cstheme="minorHAnsi"/>
          <w:bCs/>
          <w:sz w:val="20"/>
          <w:szCs w:val="20"/>
        </w:rPr>
        <w:t>e svým</w:t>
      </w:r>
      <w:r w:rsidR="0081111A" w:rsidRPr="009A7FC0">
        <w:rPr>
          <w:rFonts w:asciiTheme="minorHAnsi" w:hAnsiTheme="minorHAnsi" w:cstheme="minorHAnsi"/>
          <w:bCs/>
          <w:sz w:val="20"/>
          <w:szCs w:val="20"/>
        </w:rPr>
        <w:t xml:space="preserve"> osobním údajům</w:t>
      </w:r>
      <w:r w:rsidR="00E44426" w:rsidRPr="009A7FC0">
        <w:rPr>
          <w:rFonts w:asciiTheme="minorHAnsi" w:hAnsiTheme="minorHAnsi" w:cstheme="minorHAnsi"/>
          <w:bCs/>
          <w:sz w:val="20"/>
          <w:szCs w:val="20"/>
        </w:rPr>
        <w:t xml:space="preserve"> (čl. 13 GDPR)</w:t>
      </w:r>
      <w:r w:rsidR="0081111A" w:rsidRPr="009A7FC0">
        <w:rPr>
          <w:rFonts w:asciiTheme="minorHAnsi" w:hAnsiTheme="minorHAnsi" w:cstheme="minorHAnsi"/>
          <w:sz w:val="20"/>
          <w:szCs w:val="20"/>
        </w:rPr>
        <w:t>;</w:t>
      </w:r>
    </w:p>
    <w:p w:rsidR="0081111A" w:rsidRPr="009A7FC0" w:rsidRDefault="0081111A" w:rsidP="00E4442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 xml:space="preserve">právo na opravu </w:t>
      </w:r>
      <w:r w:rsidR="00405B57" w:rsidRPr="009A7FC0">
        <w:rPr>
          <w:rFonts w:asciiTheme="minorHAnsi" w:hAnsiTheme="minorHAnsi" w:cstheme="minorHAnsi"/>
          <w:sz w:val="20"/>
          <w:szCs w:val="20"/>
        </w:rPr>
        <w:t>osobních údajů</w:t>
      </w:r>
      <w:r w:rsidR="00E44426" w:rsidRPr="009A7FC0">
        <w:rPr>
          <w:rFonts w:asciiTheme="minorHAnsi" w:hAnsiTheme="minorHAnsi" w:cstheme="minorHAnsi"/>
          <w:sz w:val="20"/>
          <w:szCs w:val="20"/>
        </w:rPr>
        <w:t xml:space="preserve"> (čl. 16 GDPR)</w:t>
      </w:r>
      <w:r w:rsidRPr="009A7FC0">
        <w:rPr>
          <w:rFonts w:asciiTheme="minorHAnsi" w:hAnsiTheme="minorHAnsi" w:cstheme="minorHAnsi"/>
          <w:sz w:val="20"/>
          <w:szCs w:val="20"/>
        </w:rPr>
        <w:t>;</w:t>
      </w:r>
    </w:p>
    <w:p w:rsidR="00E44426" w:rsidRPr="009A7FC0" w:rsidRDefault="0081111A" w:rsidP="00E4442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>právo na omezení zpracování</w:t>
      </w:r>
      <w:r w:rsidR="00E44426" w:rsidRPr="009A7FC0">
        <w:rPr>
          <w:rFonts w:asciiTheme="minorHAnsi" w:hAnsiTheme="minorHAnsi" w:cstheme="minorHAnsi"/>
          <w:sz w:val="20"/>
          <w:szCs w:val="20"/>
        </w:rPr>
        <w:t xml:space="preserve"> (čl. 18) GDPR</w:t>
      </w:r>
    </w:p>
    <w:p w:rsidR="00E44426" w:rsidRPr="009A7FC0" w:rsidRDefault="0081111A" w:rsidP="00E4442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bCs/>
          <w:sz w:val="20"/>
          <w:szCs w:val="20"/>
        </w:rPr>
        <w:t>právo na výmaz osobních údajů</w:t>
      </w:r>
      <w:r w:rsidR="00E44426" w:rsidRPr="009A7FC0">
        <w:rPr>
          <w:rFonts w:asciiTheme="minorHAnsi" w:hAnsiTheme="minorHAnsi" w:cstheme="minorHAnsi"/>
          <w:bCs/>
          <w:sz w:val="20"/>
          <w:szCs w:val="20"/>
        </w:rPr>
        <w:t xml:space="preserve"> (čl. 17 GDPR)</w:t>
      </w:r>
    </w:p>
    <w:p w:rsidR="00E44426" w:rsidRPr="009A7FC0" w:rsidRDefault="0081111A" w:rsidP="00E4442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bCs/>
          <w:sz w:val="20"/>
          <w:szCs w:val="20"/>
        </w:rPr>
        <w:t>právo na přenositelnost údajů</w:t>
      </w:r>
      <w:r w:rsidR="00E44426" w:rsidRPr="009A7FC0">
        <w:rPr>
          <w:rFonts w:asciiTheme="minorHAnsi" w:hAnsiTheme="minorHAnsi" w:cstheme="minorHAnsi"/>
          <w:bCs/>
          <w:sz w:val="20"/>
          <w:szCs w:val="20"/>
        </w:rPr>
        <w:t xml:space="preserve"> (čl. </w:t>
      </w:r>
      <w:r w:rsidR="00D172DD" w:rsidRPr="009A7FC0">
        <w:rPr>
          <w:rFonts w:asciiTheme="minorHAnsi" w:hAnsiTheme="minorHAnsi" w:cstheme="minorHAnsi"/>
          <w:bCs/>
          <w:sz w:val="20"/>
          <w:szCs w:val="20"/>
        </w:rPr>
        <w:t>20 GDPR</w:t>
      </w:r>
      <w:r w:rsidR="00E44426" w:rsidRPr="009A7FC0">
        <w:rPr>
          <w:rFonts w:asciiTheme="minorHAnsi" w:hAnsiTheme="minorHAnsi" w:cstheme="minorHAnsi"/>
          <w:bCs/>
          <w:sz w:val="20"/>
          <w:szCs w:val="20"/>
        </w:rPr>
        <w:t>)</w:t>
      </w:r>
      <w:r w:rsidRPr="009A7FC0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0314A5" w:rsidRPr="009A7FC0" w:rsidRDefault="000314A5" w:rsidP="00D172DD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 xml:space="preserve">Právo vznést námitku proti zpracování (čl. </w:t>
      </w:r>
      <w:r w:rsidR="00B05E55" w:rsidRPr="009A7FC0">
        <w:rPr>
          <w:rFonts w:asciiTheme="minorHAnsi" w:hAnsiTheme="minorHAnsi" w:cstheme="minorHAnsi"/>
          <w:sz w:val="20"/>
          <w:szCs w:val="20"/>
        </w:rPr>
        <w:t>21 GDPR</w:t>
      </w:r>
      <w:r w:rsidRPr="009A7FC0">
        <w:rPr>
          <w:rFonts w:asciiTheme="minorHAnsi" w:hAnsiTheme="minorHAnsi" w:cstheme="minorHAnsi"/>
          <w:sz w:val="20"/>
          <w:szCs w:val="20"/>
        </w:rPr>
        <w:t>)</w:t>
      </w:r>
    </w:p>
    <w:p w:rsidR="0081111A" w:rsidRPr="00923C91" w:rsidRDefault="0081111A" w:rsidP="0081111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 xml:space="preserve">právo podat stížnost u dozorového úřadu, a to v případě, že se domníváte, že zpracováním osobních údajů dochází k porušení právních předpisů o ochraně osobních údajů. Stížnost </w:t>
      </w:r>
      <w:r w:rsidR="00D172DD" w:rsidRPr="009A7FC0">
        <w:rPr>
          <w:rFonts w:asciiTheme="minorHAnsi" w:hAnsiTheme="minorHAnsi" w:cstheme="minorHAnsi"/>
          <w:sz w:val="20"/>
          <w:szCs w:val="20"/>
        </w:rPr>
        <w:t xml:space="preserve">můžete podat u dozorového úřadu, kterým je </w:t>
      </w:r>
      <w:r w:rsidRPr="009A7FC0">
        <w:rPr>
          <w:rFonts w:asciiTheme="minorHAnsi" w:hAnsiTheme="minorHAnsi" w:cstheme="minorHAnsi"/>
          <w:sz w:val="20"/>
          <w:szCs w:val="20"/>
        </w:rPr>
        <w:t xml:space="preserve">Úřad na ochranu osobních údajů, </w:t>
      </w:r>
      <w:r w:rsidR="00D172DD" w:rsidRPr="009A7FC0">
        <w:rPr>
          <w:rFonts w:asciiTheme="minorHAnsi" w:hAnsiTheme="minorHAnsi" w:cstheme="minorHAnsi"/>
          <w:sz w:val="20"/>
          <w:szCs w:val="20"/>
        </w:rPr>
        <w:t xml:space="preserve">sídlem </w:t>
      </w:r>
      <w:r w:rsidRPr="009A7FC0">
        <w:rPr>
          <w:rFonts w:asciiTheme="minorHAnsi" w:hAnsiTheme="minorHAnsi" w:cstheme="minorHAnsi"/>
          <w:sz w:val="20"/>
          <w:szCs w:val="20"/>
        </w:rPr>
        <w:t>Pplk. Sochora 27, 170 00 Praha 7, www.uoou.cz.</w:t>
      </w:r>
    </w:p>
    <w:p w:rsidR="008117DB" w:rsidRPr="009A7FC0" w:rsidRDefault="008117DB" w:rsidP="0081111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1111A" w:rsidRPr="009A7FC0" w:rsidRDefault="0081111A" w:rsidP="008111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A7FC0">
        <w:rPr>
          <w:rFonts w:asciiTheme="minorHAnsi" w:hAnsiTheme="minorHAnsi" w:cstheme="minorHAnsi"/>
          <w:b/>
          <w:sz w:val="20"/>
          <w:szCs w:val="20"/>
        </w:rPr>
        <w:t>Povinné zpracování a povinnost poskytnout osobní údaje</w:t>
      </w:r>
    </w:p>
    <w:p w:rsidR="00EB2FA2" w:rsidRPr="009A7FC0" w:rsidRDefault="00EB2FA2" w:rsidP="00EB2FA2">
      <w:pPr>
        <w:pStyle w:val="Odstavecseseznamem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 xml:space="preserve">Zpracování osobních údajů pro výše uvedené účely je </w:t>
      </w:r>
      <w:r w:rsidR="001A0F33" w:rsidRPr="009A7FC0">
        <w:rPr>
          <w:rFonts w:asciiTheme="minorHAnsi" w:hAnsiTheme="minorHAnsi" w:cstheme="minorHAnsi"/>
          <w:sz w:val="20"/>
          <w:szCs w:val="20"/>
        </w:rPr>
        <w:t xml:space="preserve">převážně </w:t>
      </w:r>
      <w:r w:rsidRPr="009A7FC0">
        <w:rPr>
          <w:rFonts w:asciiTheme="minorHAnsi" w:hAnsiTheme="minorHAnsi" w:cstheme="minorHAnsi"/>
          <w:sz w:val="20"/>
          <w:szCs w:val="20"/>
        </w:rPr>
        <w:t xml:space="preserve">zákonným požadavkem, </w:t>
      </w:r>
      <w:r w:rsidR="001A0F33" w:rsidRPr="009A7FC0">
        <w:rPr>
          <w:rFonts w:asciiTheme="minorHAnsi" w:hAnsiTheme="minorHAnsi" w:cstheme="minorHAnsi"/>
          <w:sz w:val="20"/>
          <w:szCs w:val="20"/>
        </w:rPr>
        <w:t xml:space="preserve">a to </w:t>
      </w:r>
      <w:r w:rsidRPr="009A7FC0">
        <w:rPr>
          <w:rFonts w:asciiTheme="minorHAnsi" w:hAnsiTheme="minorHAnsi" w:cstheme="minorHAnsi"/>
          <w:sz w:val="20"/>
          <w:szCs w:val="20"/>
        </w:rPr>
        <w:t>jedná-li se o zpracování na základě čl. 6 odst. 1 písm. c)</w:t>
      </w:r>
      <w:r w:rsidR="00187880" w:rsidRPr="009A7FC0">
        <w:rPr>
          <w:rFonts w:asciiTheme="minorHAnsi" w:hAnsiTheme="minorHAnsi" w:cstheme="minorHAnsi"/>
          <w:sz w:val="20"/>
          <w:szCs w:val="20"/>
        </w:rPr>
        <w:t xml:space="preserve"> GDPR nebo nezbytným zpracováním </w:t>
      </w:r>
      <w:r w:rsidR="00D61C45" w:rsidRPr="009A7FC0">
        <w:rPr>
          <w:rFonts w:asciiTheme="minorHAnsi" w:hAnsiTheme="minorHAnsi" w:cstheme="minorHAnsi"/>
          <w:sz w:val="20"/>
          <w:szCs w:val="20"/>
        </w:rPr>
        <w:t xml:space="preserve">pro plnění smluvní povinnosti nebo pro jednání o uzavření smlouvy, a to </w:t>
      </w:r>
      <w:r w:rsidRPr="009A7FC0">
        <w:rPr>
          <w:rFonts w:asciiTheme="minorHAnsi" w:hAnsiTheme="minorHAnsi" w:cstheme="minorHAnsi"/>
          <w:sz w:val="20"/>
          <w:szCs w:val="20"/>
        </w:rPr>
        <w:t>základě čl. 6 odst. 1 písm. b)</w:t>
      </w:r>
      <w:r w:rsidR="00923C91">
        <w:rPr>
          <w:rFonts w:asciiTheme="minorHAnsi" w:hAnsiTheme="minorHAnsi" w:cstheme="minorHAnsi"/>
          <w:sz w:val="20"/>
          <w:szCs w:val="20"/>
        </w:rPr>
        <w:t xml:space="preserve"> GDPR</w:t>
      </w:r>
      <w:r w:rsidRPr="009A7FC0">
        <w:rPr>
          <w:rFonts w:asciiTheme="minorHAnsi" w:hAnsiTheme="minorHAnsi" w:cstheme="minorHAnsi"/>
          <w:sz w:val="20"/>
          <w:szCs w:val="20"/>
        </w:rPr>
        <w:t xml:space="preserve">. Neposkytnutí takových osobních údajů může mít za následek nedodržování právních předpisů nebo </w:t>
      </w:r>
      <w:r w:rsidR="001A0F33" w:rsidRPr="009A7FC0">
        <w:rPr>
          <w:rFonts w:asciiTheme="minorHAnsi" w:hAnsiTheme="minorHAnsi" w:cstheme="minorHAnsi"/>
          <w:sz w:val="20"/>
          <w:szCs w:val="20"/>
        </w:rPr>
        <w:t>ztížení dodržování</w:t>
      </w:r>
      <w:r w:rsidR="00923C91">
        <w:rPr>
          <w:rFonts w:asciiTheme="minorHAnsi" w:hAnsiTheme="minorHAnsi" w:cstheme="minorHAnsi"/>
          <w:sz w:val="20"/>
          <w:szCs w:val="20"/>
        </w:rPr>
        <w:t xml:space="preserve"> smluvního závazku.</w:t>
      </w:r>
    </w:p>
    <w:p w:rsidR="00EB2FA2" w:rsidRPr="009A7FC0" w:rsidRDefault="00EB2FA2" w:rsidP="00EB2FA2">
      <w:pPr>
        <w:pStyle w:val="Odstavecseseznamem"/>
        <w:ind w:left="454"/>
        <w:jc w:val="both"/>
        <w:rPr>
          <w:rFonts w:asciiTheme="minorHAnsi" w:hAnsiTheme="minorHAnsi" w:cstheme="minorHAnsi"/>
          <w:sz w:val="20"/>
          <w:szCs w:val="20"/>
        </w:rPr>
      </w:pPr>
    </w:p>
    <w:p w:rsidR="00EB2FA2" w:rsidRPr="009A7FC0" w:rsidRDefault="00EB2FA2" w:rsidP="00EB2FA2">
      <w:pPr>
        <w:pStyle w:val="Odstavecseseznamem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>Zpracování osobní</w:t>
      </w:r>
      <w:r w:rsidR="00D61C45" w:rsidRPr="009A7FC0">
        <w:rPr>
          <w:rFonts w:asciiTheme="minorHAnsi" w:hAnsiTheme="minorHAnsi" w:cstheme="minorHAnsi"/>
          <w:sz w:val="20"/>
          <w:szCs w:val="20"/>
        </w:rPr>
        <w:t xml:space="preserve">ch údajů na základě souhlasu </w:t>
      </w:r>
      <w:r w:rsidRPr="009A7FC0">
        <w:rPr>
          <w:rFonts w:asciiTheme="minorHAnsi" w:hAnsiTheme="minorHAnsi" w:cstheme="minorHAnsi"/>
          <w:sz w:val="20"/>
          <w:szCs w:val="20"/>
        </w:rPr>
        <w:t>je dobrovolné.</w:t>
      </w:r>
      <w:r w:rsidR="00923C91">
        <w:rPr>
          <w:rFonts w:asciiTheme="minorHAnsi" w:hAnsiTheme="minorHAnsi" w:cstheme="minorHAnsi"/>
          <w:sz w:val="20"/>
          <w:szCs w:val="20"/>
        </w:rPr>
        <w:t xml:space="preserve"> Souhlas může být kdykoli odvolán</w:t>
      </w:r>
      <w:r w:rsidR="00D61C45" w:rsidRPr="009A7FC0">
        <w:rPr>
          <w:rFonts w:asciiTheme="minorHAnsi" w:hAnsiTheme="minorHAnsi" w:cstheme="minorHAnsi"/>
          <w:sz w:val="20"/>
          <w:szCs w:val="20"/>
        </w:rPr>
        <w:t>.</w:t>
      </w:r>
    </w:p>
    <w:p w:rsidR="008117DB" w:rsidRPr="009A7FC0" w:rsidRDefault="008117DB" w:rsidP="00C62AC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62AC6" w:rsidRPr="009A7FC0" w:rsidRDefault="00C62AC6" w:rsidP="00C62AC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A7FC0">
        <w:rPr>
          <w:rFonts w:asciiTheme="minorHAnsi" w:hAnsiTheme="minorHAnsi" w:cstheme="minorHAnsi"/>
          <w:b/>
          <w:sz w:val="20"/>
          <w:szCs w:val="20"/>
        </w:rPr>
        <w:t>Dozorový orgán</w:t>
      </w:r>
    </w:p>
    <w:p w:rsidR="008117DB" w:rsidRPr="009A7FC0" w:rsidRDefault="00C62AC6" w:rsidP="00AE20F3">
      <w:pPr>
        <w:pStyle w:val="Odstavecseseznamem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 xml:space="preserve">V oblasti ochrany osobních údajů vykonává dozorovou činnost Úřad pro ochranu osobních údajů, </w:t>
      </w:r>
      <w:r w:rsidR="002D4C17" w:rsidRPr="009A7FC0">
        <w:rPr>
          <w:rFonts w:asciiTheme="minorHAnsi" w:hAnsiTheme="minorHAnsi" w:cstheme="minorHAnsi"/>
          <w:sz w:val="20"/>
          <w:szCs w:val="20"/>
        </w:rPr>
        <w:t xml:space="preserve">se </w:t>
      </w:r>
      <w:r w:rsidRPr="009A7FC0">
        <w:rPr>
          <w:rFonts w:asciiTheme="minorHAnsi" w:hAnsiTheme="minorHAnsi" w:cstheme="minorHAnsi"/>
          <w:sz w:val="20"/>
          <w:szCs w:val="20"/>
        </w:rPr>
        <w:t xml:space="preserve">sídlem </w:t>
      </w:r>
      <w:r w:rsidR="002D4C17" w:rsidRPr="009A7FC0">
        <w:rPr>
          <w:rFonts w:asciiTheme="minorHAnsi" w:hAnsiTheme="minorHAnsi" w:cstheme="minorHAnsi"/>
          <w:sz w:val="20"/>
          <w:szCs w:val="20"/>
        </w:rPr>
        <w:t xml:space="preserve">Pplk. Sochora 27, 170 00 Praha 7, email: </w:t>
      </w:r>
      <w:hyperlink r:id="rId8" w:history="1">
        <w:r w:rsidR="002D4C17" w:rsidRPr="009A7FC0">
          <w:rPr>
            <w:rStyle w:val="Hypertextovodkaz"/>
            <w:rFonts w:asciiTheme="minorHAnsi" w:hAnsiTheme="minorHAnsi" w:cstheme="minorHAnsi"/>
            <w:sz w:val="20"/>
            <w:szCs w:val="20"/>
          </w:rPr>
          <w:t>posta@uoou.cz</w:t>
        </w:r>
      </w:hyperlink>
      <w:r w:rsidR="002D4C17" w:rsidRPr="009A7FC0">
        <w:rPr>
          <w:rFonts w:asciiTheme="minorHAnsi" w:hAnsiTheme="minorHAnsi" w:cstheme="minorHAnsi"/>
          <w:sz w:val="20"/>
          <w:szCs w:val="20"/>
        </w:rPr>
        <w:t xml:space="preserve">, </w:t>
      </w:r>
      <w:hyperlink r:id="rId9" w:history="1">
        <w:r w:rsidR="002D4C17" w:rsidRPr="009A7FC0">
          <w:rPr>
            <w:rStyle w:val="Hypertextovodkaz"/>
            <w:rFonts w:asciiTheme="minorHAnsi" w:hAnsiTheme="minorHAnsi" w:cstheme="minorHAnsi"/>
            <w:sz w:val="20"/>
            <w:szCs w:val="20"/>
          </w:rPr>
          <w:t>www.uoou.cz</w:t>
        </w:r>
      </w:hyperlink>
      <w:r w:rsidR="002D4C17" w:rsidRPr="009A7FC0">
        <w:rPr>
          <w:rFonts w:asciiTheme="minorHAnsi" w:hAnsiTheme="minorHAnsi" w:cstheme="minorHAnsi"/>
          <w:sz w:val="20"/>
          <w:szCs w:val="20"/>
        </w:rPr>
        <w:t>.</w:t>
      </w:r>
    </w:p>
    <w:p w:rsidR="00D61C45" w:rsidRPr="009A7FC0" w:rsidRDefault="00D61C45" w:rsidP="00AE20F3">
      <w:pPr>
        <w:pStyle w:val="Odstavecseseznamem"/>
        <w:ind w:left="454"/>
        <w:jc w:val="both"/>
        <w:rPr>
          <w:rFonts w:asciiTheme="minorHAnsi" w:hAnsiTheme="minorHAnsi" w:cstheme="minorHAnsi"/>
          <w:sz w:val="20"/>
          <w:szCs w:val="20"/>
        </w:rPr>
      </w:pPr>
    </w:p>
    <w:p w:rsidR="00D61C45" w:rsidRPr="009A7FC0" w:rsidRDefault="00D61C45" w:rsidP="00AE20F3">
      <w:pPr>
        <w:pStyle w:val="Odstavecseseznamem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 xml:space="preserve">Pokud se domníváte, že s Vašimi osobními údaji zacházíme nesprávně, neváhejte se na nás obrátit na výše uvedených kontaktech, a to i v případě, </w:t>
      </w:r>
      <w:r w:rsidR="00CE6045">
        <w:rPr>
          <w:rFonts w:asciiTheme="minorHAnsi" w:hAnsiTheme="minorHAnsi" w:cstheme="minorHAnsi"/>
          <w:sz w:val="20"/>
          <w:szCs w:val="20"/>
        </w:rPr>
        <w:t>pokud by</w:t>
      </w:r>
      <w:r w:rsidRPr="009A7FC0">
        <w:rPr>
          <w:rFonts w:asciiTheme="minorHAnsi" w:hAnsiTheme="minorHAnsi" w:cstheme="minorHAnsi"/>
          <w:sz w:val="20"/>
          <w:szCs w:val="20"/>
        </w:rPr>
        <w:t xml:space="preserve"> Vám některé </w:t>
      </w:r>
      <w:r w:rsidR="00CE6045">
        <w:rPr>
          <w:rFonts w:asciiTheme="minorHAnsi" w:hAnsiTheme="minorHAnsi" w:cstheme="minorHAnsi"/>
          <w:sz w:val="20"/>
          <w:szCs w:val="20"/>
        </w:rPr>
        <w:t xml:space="preserve">uvedené </w:t>
      </w:r>
      <w:r w:rsidRPr="009A7FC0">
        <w:rPr>
          <w:rFonts w:asciiTheme="minorHAnsi" w:hAnsiTheme="minorHAnsi" w:cstheme="minorHAnsi"/>
          <w:sz w:val="20"/>
          <w:szCs w:val="20"/>
        </w:rPr>
        <w:t xml:space="preserve">informace </w:t>
      </w:r>
      <w:r w:rsidR="00CE6045">
        <w:rPr>
          <w:rFonts w:asciiTheme="minorHAnsi" w:hAnsiTheme="minorHAnsi" w:cstheme="minorHAnsi"/>
          <w:sz w:val="20"/>
          <w:szCs w:val="20"/>
        </w:rPr>
        <w:t>byly</w:t>
      </w:r>
      <w:r w:rsidRPr="009A7FC0">
        <w:rPr>
          <w:rFonts w:asciiTheme="minorHAnsi" w:hAnsiTheme="minorHAnsi" w:cstheme="minorHAnsi"/>
          <w:sz w:val="20"/>
          <w:szCs w:val="20"/>
        </w:rPr>
        <w:t xml:space="preserve"> </w:t>
      </w:r>
      <w:r w:rsidR="00CE6045">
        <w:rPr>
          <w:rFonts w:asciiTheme="minorHAnsi" w:hAnsiTheme="minorHAnsi" w:cstheme="minorHAnsi"/>
          <w:sz w:val="20"/>
          <w:szCs w:val="20"/>
        </w:rPr>
        <w:t>nesrozumitelné</w:t>
      </w:r>
      <w:r w:rsidRPr="009A7FC0">
        <w:rPr>
          <w:rFonts w:asciiTheme="minorHAnsi" w:hAnsiTheme="minorHAnsi" w:cstheme="minorHAnsi"/>
          <w:sz w:val="20"/>
          <w:szCs w:val="20"/>
        </w:rPr>
        <w:t>.</w:t>
      </w:r>
    </w:p>
    <w:p w:rsidR="008117DB" w:rsidRPr="009A7FC0" w:rsidRDefault="008117DB">
      <w:pPr>
        <w:rPr>
          <w:rFonts w:asciiTheme="minorHAnsi" w:hAnsiTheme="minorHAnsi" w:cstheme="minorHAnsi"/>
          <w:sz w:val="20"/>
          <w:szCs w:val="20"/>
        </w:rPr>
      </w:pPr>
    </w:p>
    <w:p w:rsidR="008117DB" w:rsidRDefault="008117DB" w:rsidP="00D61C4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E6045" w:rsidRPr="009A7FC0" w:rsidRDefault="00CE6045" w:rsidP="00D61C4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F05D5" w:rsidRPr="009A7FC0" w:rsidRDefault="00967B85" w:rsidP="00D61C45">
      <w:pPr>
        <w:jc w:val="center"/>
        <w:rPr>
          <w:rFonts w:asciiTheme="minorHAnsi" w:hAnsiTheme="minorHAnsi" w:cstheme="minorHAnsi"/>
          <w:sz w:val="20"/>
          <w:szCs w:val="20"/>
        </w:rPr>
      </w:pPr>
      <w:r w:rsidRPr="009A7FC0">
        <w:rPr>
          <w:rFonts w:asciiTheme="minorHAnsi" w:hAnsiTheme="minorHAnsi" w:cstheme="minorHAnsi"/>
          <w:sz w:val="20"/>
          <w:szCs w:val="20"/>
        </w:rPr>
        <w:t>V </w:t>
      </w:r>
      <w:r w:rsidR="00D943B9">
        <w:rPr>
          <w:rFonts w:asciiTheme="minorHAnsi" w:hAnsiTheme="minorHAnsi" w:cstheme="minorHAnsi"/>
          <w:sz w:val="20"/>
          <w:szCs w:val="20"/>
        </w:rPr>
        <w:t>Žamberku</w:t>
      </w:r>
      <w:r w:rsidRPr="009A7FC0">
        <w:rPr>
          <w:rFonts w:asciiTheme="minorHAnsi" w:hAnsiTheme="minorHAnsi" w:cstheme="minorHAnsi"/>
          <w:sz w:val="20"/>
          <w:szCs w:val="20"/>
        </w:rPr>
        <w:t xml:space="preserve"> dne</w:t>
      </w:r>
      <w:r w:rsidR="00D943B9">
        <w:rPr>
          <w:rFonts w:asciiTheme="minorHAnsi" w:hAnsiTheme="minorHAnsi" w:cstheme="minorHAnsi"/>
          <w:sz w:val="20"/>
          <w:szCs w:val="20"/>
        </w:rPr>
        <w:t xml:space="preserve"> 31. 12. 2018</w:t>
      </w:r>
    </w:p>
    <w:sectPr w:rsidR="003F05D5" w:rsidRPr="009A7FC0" w:rsidSect="007552A6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FA" w:rsidRDefault="005354FA" w:rsidP="000B73F7">
      <w:r>
        <w:separator/>
      </w:r>
    </w:p>
  </w:endnote>
  <w:endnote w:type="continuationSeparator" w:id="0">
    <w:p w:rsidR="005354FA" w:rsidRDefault="005354FA" w:rsidP="000B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FA" w:rsidRDefault="005354FA" w:rsidP="000B73F7">
      <w:r>
        <w:separator/>
      </w:r>
    </w:p>
  </w:footnote>
  <w:footnote w:type="continuationSeparator" w:id="0">
    <w:p w:rsidR="005354FA" w:rsidRDefault="005354FA" w:rsidP="000B73F7">
      <w:r>
        <w:continuationSeparator/>
      </w:r>
    </w:p>
  </w:footnote>
  <w:footnote w:id="1">
    <w:p w:rsidR="00AF0B0A" w:rsidRPr="006778C1" w:rsidRDefault="00AF0B0A" w:rsidP="006778C1">
      <w:pPr>
        <w:rPr>
          <w:rFonts w:asciiTheme="minorHAnsi" w:hAnsiTheme="minorHAnsi"/>
          <w:sz w:val="20"/>
          <w:szCs w:val="20"/>
        </w:rPr>
      </w:pPr>
      <w:r w:rsidRPr="006778C1">
        <w:rPr>
          <w:rStyle w:val="Znakapoznpodarou"/>
          <w:rFonts w:asciiTheme="minorHAnsi" w:hAnsiTheme="minorHAnsi"/>
          <w:sz w:val="20"/>
          <w:szCs w:val="20"/>
        </w:rPr>
        <w:footnoteRef/>
      </w:r>
      <w:r w:rsidRPr="006778C1">
        <w:rPr>
          <w:rFonts w:asciiTheme="minorHAnsi" w:hAnsiTheme="minorHAnsi"/>
          <w:sz w:val="20"/>
          <w:szCs w:val="20"/>
        </w:rPr>
        <w:t xml:space="preserve"> Viz stanovisko Úřadu pro ochranu osobních údajů, dostupné on-line zde </w:t>
      </w:r>
      <w:hyperlink r:id="rId1" w:history="1">
        <w:r w:rsidRPr="006778C1">
          <w:rPr>
            <w:rStyle w:val="Hypertextovodkaz"/>
            <w:rFonts w:asciiTheme="minorHAnsi" w:hAnsiTheme="minorHAnsi"/>
            <w:sz w:val="20"/>
            <w:szCs w:val="20"/>
          </w:rPr>
          <w:t>https://www.uoou.cz/dp/id_ktg=5088&amp;archiv=1</w:t>
        </w:r>
      </w:hyperlink>
      <w:r w:rsidRPr="006778C1">
        <w:rPr>
          <w:rFonts w:asciiTheme="minorHAnsi" w:hAnsiTheme="minorHAnsi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850"/>
    <w:multiLevelType w:val="hybridMultilevel"/>
    <w:tmpl w:val="DCA8CD76"/>
    <w:lvl w:ilvl="0" w:tplc="0EBED168">
      <w:start w:val="2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E3665FF"/>
    <w:multiLevelType w:val="multilevel"/>
    <w:tmpl w:val="60E83310"/>
    <w:lvl w:ilvl="0">
      <w:start w:val="1"/>
      <w:numFmt w:val="bullet"/>
      <w:lvlText w:val="›"/>
      <w:lvlJc w:val="left"/>
      <w:pPr>
        <w:ind w:left="1211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445E3"/>
    <w:multiLevelType w:val="multilevel"/>
    <w:tmpl w:val="16063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42119"/>
    <w:multiLevelType w:val="hybridMultilevel"/>
    <w:tmpl w:val="04DA9F16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B5F"/>
    <w:multiLevelType w:val="hybridMultilevel"/>
    <w:tmpl w:val="EA5EC8EC"/>
    <w:lvl w:ilvl="0" w:tplc="0EBED16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391C35"/>
    <w:multiLevelType w:val="hybridMultilevel"/>
    <w:tmpl w:val="BA643340"/>
    <w:lvl w:ilvl="0" w:tplc="0EBED168">
      <w:start w:val="2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D18799A"/>
    <w:multiLevelType w:val="hybridMultilevel"/>
    <w:tmpl w:val="A8065E4A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5FC3003F"/>
    <w:multiLevelType w:val="multilevel"/>
    <w:tmpl w:val="54E691C0"/>
    <w:lvl w:ilvl="0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01699"/>
    <w:multiLevelType w:val="hybridMultilevel"/>
    <w:tmpl w:val="514E7598"/>
    <w:lvl w:ilvl="0" w:tplc="0EBED168">
      <w:start w:val="2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6B3F1E68"/>
    <w:multiLevelType w:val="hybridMultilevel"/>
    <w:tmpl w:val="451EE27A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48E46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E958F7"/>
    <w:multiLevelType w:val="hybridMultilevel"/>
    <w:tmpl w:val="6DDAC94C"/>
    <w:lvl w:ilvl="0" w:tplc="0EBED168">
      <w:start w:val="2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77F71048"/>
    <w:multiLevelType w:val="hybridMultilevel"/>
    <w:tmpl w:val="83B05D32"/>
    <w:lvl w:ilvl="0" w:tplc="0EBED168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79587683"/>
    <w:multiLevelType w:val="hybridMultilevel"/>
    <w:tmpl w:val="4F60A79C"/>
    <w:lvl w:ilvl="0" w:tplc="548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1A"/>
    <w:rsid w:val="000012E4"/>
    <w:rsid w:val="00010107"/>
    <w:rsid w:val="0001029E"/>
    <w:rsid w:val="0001278C"/>
    <w:rsid w:val="00021CB7"/>
    <w:rsid w:val="00025058"/>
    <w:rsid w:val="000314A5"/>
    <w:rsid w:val="00037368"/>
    <w:rsid w:val="0005380A"/>
    <w:rsid w:val="000559CA"/>
    <w:rsid w:val="00056BD7"/>
    <w:rsid w:val="00064F44"/>
    <w:rsid w:val="00065107"/>
    <w:rsid w:val="00065228"/>
    <w:rsid w:val="0007055C"/>
    <w:rsid w:val="0007106A"/>
    <w:rsid w:val="00071C75"/>
    <w:rsid w:val="00081CB6"/>
    <w:rsid w:val="00081F88"/>
    <w:rsid w:val="00084AB5"/>
    <w:rsid w:val="000900E7"/>
    <w:rsid w:val="000A0510"/>
    <w:rsid w:val="000A38AE"/>
    <w:rsid w:val="000B73F7"/>
    <w:rsid w:val="000C0DD2"/>
    <w:rsid w:val="000C5E80"/>
    <w:rsid w:val="000D6F37"/>
    <w:rsid w:val="000E71CF"/>
    <w:rsid w:val="000F242A"/>
    <w:rsid w:val="000F2630"/>
    <w:rsid w:val="000F5C19"/>
    <w:rsid w:val="0010009E"/>
    <w:rsid w:val="00100537"/>
    <w:rsid w:val="00102C99"/>
    <w:rsid w:val="0014059F"/>
    <w:rsid w:val="00146D29"/>
    <w:rsid w:val="0015603B"/>
    <w:rsid w:val="0016118F"/>
    <w:rsid w:val="0017728E"/>
    <w:rsid w:val="00187880"/>
    <w:rsid w:val="00190AF1"/>
    <w:rsid w:val="00193777"/>
    <w:rsid w:val="001A0F33"/>
    <w:rsid w:val="001A12C1"/>
    <w:rsid w:val="001B517A"/>
    <w:rsid w:val="001B6E1C"/>
    <w:rsid w:val="001C64CD"/>
    <w:rsid w:val="001D2453"/>
    <w:rsid w:val="001D33B8"/>
    <w:rsid w:val="001E334F"/>
    <w:rsid w:val="001F1BF8"/>
    <w:rsid w:val="002102F0"/>
    <w:rsid w:val="00212655"/>
    <w:rsid w:val="002261A0"/>
    <w:rsid w:val="00251BA4"/>
    <w:rsid w:val="00251E35"/>
    <w:rsid w:val="00254005"/>
    <w:rsid w:val="002666C3"/>
    <w:rsid w:val="002717EA"/>
    <w:rsid w:val="00272217"/>
    <w:rsid w:val="002753D2"/>
    <w:rsid w:val="0028760F"/>
    <w:rsid w:val="002A08FA"/>
    <w:rsid w:val="002A2CE1"/>
    <w:rsid w:val="002A6A16"/>
    <w:rsid w:val="002B5E0F"/>
    <w:rsid w:val="002C1EA9"/>
    <w:rsid w:val="002C50CB"/>
    <w:rsid w:val="002C687B"/>
    <w:rsid w:val="002C7EE5"/>
    <w:rsid w:val="002D4C17"/>
    <w:rsid w:val="002F4F2A"/>
    <w:rsid w:val="00302EC9"/>
    <w:rsid w:val="00321854"/>
    <w:rsid w:val="00323120"/>
    <w:rsid w:val="00325DC8"/>
    <w:rsid w:val="0033498A"/>
    <w:rsid w:val="0034206B"/>
    <w:rsid w:val="0034406E"/>
    <w:rsid w:val="003638E7"/>
    <w:rsid w:val="00373D1B"/>
    <w:rsid w:val="003745DA"/>
    <w:rsid w:val="00383B89"/>
    <w:rsid w:val="0038767B"/>
    <w:rsid w:val="003A4D87"/>
    <w:rsid w:val="003A6987"/>
    <w:rsid w:val="003B7B84"/>
    <w:rsid w:val="003C7D5D"/>
    <w:rsid w:val="003D0BD7"/>
    <w:rsid w:val="003D32F0"/>
    <w:rsid w:val="003D6178"/>
    <w:rsid w:val="003E0F6D"/>
    <w:rsid w:val="003E4345"/>
    <w:rsid w:val="003F05D5"/>
    <w:rsid w:val="003F26F5"/>
    <w:rsid w:val="003F2E0A"/>
    <w:rsid w:val="003F4983"/>
    <w:rsid w:val="00400621"/>
    <w:rsid w:val="00403FB9"/>
    <w:rsid w:val="00405B57"/>
    <w:rsid w:val="00413CBC"/>
    <w:rsid w:val="00417A33"/>
    <w:rsid w:val="004256E7"/>
    <w:rsid w:val="00425DD6"/>
    <w:rsid w:val="00441320"/>
    <w:rsid w:val="00452C69"/>
    <w:rsid w:val="00460B93"/>
    <w:rsid w:val="00471963"/>
    <w:rsid w:val="00496AD6"/>
    <w:rsid w:val="004B01F5"/>
    <w:rsid w:val="004B3A4B"/>
    <w:rsid w:val="004C15D3"/>
    <w:rsid w:val="004C4000"/>
    <w:rsid w:val="004C40A4"/>
    <w:rsid w:val="004C4291"/>
    <w:rsid w:val="004C4C5C"/>
    <w:rsid w:val="004E5EB6"/>
    <w:rsid w:val="004F21C5"/>
    <w:rsid w:val="005015DC"/>
    <w:rsid w:val="00505ED6"/>
    <w:rsid w:val="005150D4"/>
    <w:rsid w:val="005227D5"/>
    <w:rsid w:val="005232C1"/>
    <w:rsid w:val="00523C97"/>
    <w:rsid w:val="00531E74"/>
    <w:rsid w:val="005354FA"/>
    <w:rsid w:val="005463D6"/>
    <w:rsid w:val="00553A7E"/>
    <w:rsid w:val="00570AE5"/>
    <w:rsid w:val="00573548"/>
    <w:rsid w:val="00584D21"/>
    <w:rsid w:val="00587FA4"/>
    <w:rsid w:val="005931CA"/>
    <w:rsid w:val="005A19AB"/>
    <w:rsid w:val="005B0327"/>
    <w:rsid w:val="005C0397"/>
    <w:rsid w:val="005C486C"/>
    <w:rsid w:val="005C5630"/>
    <w:rsid w:val="005C73ED"/>
    <w:rsid w:val="005D4F25"/>
    <w:rsid w:val="005E2C5D"/>
    <w:rsid w:val="005F027B"/>
    <w:rsid w:val="00600318"/>
    <w:rsid w:val="006034B2"/>
    <w:rsid w:val="00606C4F"/>
    <w:rsid w:val="006077CC"/>
    <w:rsid w:val="00616D2D"/>
    <w:rsid w:val="00624850"/>
    <w:rsid w:val="00626B25"/>
    <w:rsid w:val="0063071C"/>
    <w:rsid w:val="00631C6E"/>
    <w:rsid w:val="0064004A"/>
    <w:rsid w:val="006737F0"/>
    <w:rsid w:val="006778C1"/>
    <w:rsid w:val="00677C7F"/>
    <w:rsid w:val="006857A5"/>
    <w:rsid w:val="00694BE3"/>
    <w:rsid w:val="006967D6"/>
    <w:rsid w:val="006A223F"/>
    <w:rsid w:val="006A251A"/>
    <w:rsid w:val="006B7A8F"/>
    <w:rsid w:val="006E396F"/>
    <w:rsid w:val="006E6E8B"/>
    <w:rsid w:val="00700B8F"/>
    <w:rsid w:val="00717774"/>
    <w:rsid w:val="0072078E"/>
    <w:rsid w:val="007275EE"/>
    <w:rsid w:val="007312DC"/>
    <w:rsid w:val="00737657"/>
    <w:rsid w:val="00741032"/>
    <w:rsid w:val="007552A6"/>
    <w:rsid w:val="00762E1A"/>
    <w:rsid w:val="00765564"/>
    <w:rsid w:val="00765601"/>
    <w:rsid w:val="0077455B"/>
    <w:rsid w:val="007878B6"/>
    <w:rsid w:val="0079478B"/>
    <w:rsid w:val="007A7F98"/>
    <w:rsid w:val="007B24AB"/>
    <w:rsid w:val="007D652A"/>
    <w:rsid w:val="007D6E16"/>
    <w:rsid w:val="007D7C0F"/>
    <w:rsid w:val="007E1680"/>
    <w:rsid w:val="007E315C"/>
    <w:rsid w:val="007F5D60"/>
    <w:rsid w:val="00804212"/>
    <w:rsid w:val="00806BF6"/>
    <w:rsid w:val="00810888"/>
    <w:rsid w:val="0081111A"/>
    <w:rsid w:val="008117DB"/>
    <w:rsid w:val="0082222F"/>
    <w:rsid w:val="0082281C"/>
    <w:rsid w:val="00834A69"/>
    <w:rsid w:val="00853806"/>
    <w:rsid w:val="0087710B"/>
    <w:rsid w:val="00887206"/>
    <w:rsid w:val="008954A2"/>
    <w:rsid w:val="008956E2"/>
    <w:rsid w:val="008974ED"/>
    <w:rsid w:val="008A754B"/>
    <w:rsid w:val="008A7C6F"/>
    <w:rsid w:val="008B10DF"/>
    <w:rsid w:val="008B1101"/>
    <w:rsid w:val="008B1419"/>
    <w:rsid w:val="008B7095"/>
    <w:rsid w:val="008C1C5B"/>
    <w:rsid w:val="008C2F0D"/>
    <w:rsid w:val="008D0814"/>
    <w:rsid w:val="008D56B4"/>
    <w:rsid w:val="008D5ABA"/>
    <w:rsid w:val="008E4B70"/>
    <w:rsid w:val="009126FE"/>
    <w:rsid w:val="00920552"/>
    <w:rsid w:val="00921237"/>
    <w:rsid w:val="00923C91"/>
    <w:rsid w:val="0093092B"/>
    <w:rsid w:val="00931D70"/>
    <w:rsid w:val="00935456"/>
    <w:rsid w:val="00937403"/>
    <w:rsid w:val="00941C45"/>
    <w:rsid w:val="00954311"/>
    <w:rsid w:val="00963290"/>
    <w:rsid w:val="009651BC"/>
    <w:rsid w:val="0096780F"/>
    <w:rsid w:val="00967B85"/>
    <w:rsid w:val="00973159"/>
    <w:rsid w:val="00976ADC"/>
    <w:rsid w:val="00977DF0"/>
    <w:rsid w:val="00993921"/>
    <w:rsid w:val="009A1DF2"/>
    <w:rsid w:val="009A5BD4"/>
    <w:rsid w:val="009A7FC0"/>
    <w:rsid w:val="009B1D94"/>
    <w:rsid w:val="009C0B4E"/>
    <w:rsid w:val="009D2D8B"/>
    <w:rsid w:val="009D6AFC"/>
    <w:rsid w:val="009E571F"/>
    <w:rsid w:val="009F1387"/>
    <w:rsid w:val="00A01C6A"/>
    <w:rsid w:val="00A022A7"/>
    <w:rsid w:val="00A055F8"/>
    <w:rsid w:val="00A17307"/>
    <w:rsid w:val="00A217C4"/>
    <w:rsid w:val="00A21B6B"/>
    <w:rsid w:val="00A23CE4"/>
    <w:rsid w:val="00A25438"/>
    <w:rsid w:val="00A312BF"/>
    <w:rsid w:val="00A320D5"/>
    <w:rsid w:val="00A403B5"/>
    <w:rsid w:val="00A53122"/>
    <w:rsid w:val="00A5704B"/>
    <w:rsid w:val="00A614B3"/>
    <w:rsid w:val="00A6594D"/>
    <w:rsid w:val="00A7190F"/>
    <w:rsid w:val="00A77B79"/>
    <w:rsid w:val="00A8098D"/>
    <w:rsid w:val="00A844F1"/>
    <w:rsid w:val="00A91492"/>
    <w:rsid w:val="00A923D6"/>
    <w:rsid w:val="00AA281D"/>
    <w:rsid w:val="00AA7F78"/>
    <w:rsid w:val="00AB29E6"/>
    <w:rsid w:val="00AC19A6"/>
    <w:rsid w:val="00AC4319"/>
    <w:rsid w:val="00AC551A"/>
    <w:rsid w:val="00AC6197"/>
    <w:rsid w:val="00AD33E5"/>
    <w:rsid w:val="00AE20F3"/>
    <w:rsid w:val="00AF056C"/>
    <w:rsid w:val="00AF0B0A"/>
    <w:rsid w:val="00AF2538"/>
    <w:rsid w:val="00B001F6"/>
    <w:rsid w:val="00B03A48"/>
    <w:rsid w:val="00B05E55"/>
    <w:rsid w:val="00B06E7A"/>
    <w:rsid w:val="00B110BE"/>
    <w:rsid w:val="00B15D34"/>
    <w:rsid w:val="00B2634D"/>
    <w:rsid w:val="00B30552"/>
    <w:rsid w:val="00B4641B"/>
    <w:rsid w:val="00B46EFB"/>
    <w:rsid w:val="00B47718"/>
    <w:rsid w:val="00B717DB"/>
    <w:rsid w:val="00B74615"/>
    <w:rsid w:val="00B76ED5"/>
    <w:rsid w:val="00B77798"/>
    <w:rsid w:val="00B77A5E"/>
    <w:rsid w:val="00B87771"/>
    <w:rsid w:val="00B90225"/>
    <w:rsid w:val="00B90FE4"/>
    <w:rsid w:val="00B938F7"/>
    <w:rsid w:val="00B9442F"/>
    <w:rsid w:val="00B9732F"/>
    <w:rsid w:val="00BA234C"/>
    <w:rsid w:val="00BA43A2"/>
    <w:rsid w:val="00BA6CE1"/>
    <w:rsid w:val="00BB5BE9"/>
    <w:rsid w:val="00BB6699"/>
    <w:rsid w:val="00BC4E13"/>
    <w:rsid w:val="00BC5E2A"/>
    <w:rsid w:val="00BC7C00"/>
    <w:rsid w:val="00BD2FE0"/>
    <w:rsid w:val="00BD56B2"/>
    <w:rsid w:val="00BF2978"/>
    <w:rsid w:val="00C120F8"/>
    <w:rsid w:val="00C130DB"/>
    <w:rsid w:val="00C15BCB"/>
    <w:rsid w:val="00C21C40"/>
    <w:rsid w:val="00C23E8B"/>
    <w:rsid w:val="00C25C71"/>
    <w:rsid w:val="00C2731C"/>
    <w:rsid w:val="00C27D7F"/>
    <w:rsid w:val="00C33249"/>
    <w:rsid w:val="00C43535"/>
    <w:rsid w:val="00C46172"/>
    <w:rsid w:val="00C539F5"/>
    <w:rsid w:val="00C55B86"/>
    <w:rsid w:val="00C622B4"/>
    <w:rsid w:val="00C62AC6"/>
    <w:rsid w:val="00C62C44"/>
    <w:rsid w:val="00CA31C9"/>
    <w:rsid w:val="00CB0715"/>
    <w:rsid w:val="00CB1A9B"/>
    <w:rsid w:val="00CC0E2C"/>
    <w:rsid w:val="00CD2809"/>
    <w:rsid w:val="00CD39D2"/>
    <w:rsid w:val="00CD4AA6"/>
    <w:rsid w:val="00CE075A"/>
    <w:rsid w:val="00CE13EA"/>
    <w:rsid w:val="00CE6045"/>
    <w:rsid w:val="00CF1858"/>
    <w:rsid w:val="00CF438C"/>
    <w:rsid w:val="00CF6CB5"/>
    <w:rsid w:val="00D02454"/>
    <w:rsid w:val="00D0741B"/>
    <w:rsid w:val="00D12AFA"/>
    <w:rsid w:val="00D172DD"/>
    <w:rsid w:val="00D23D6F"/>
    <w:rsid w:val="00D358C0"/>
    <w:rsid w:val="00D61C45"/>
    <w:rsid w:val="00D61DAB"/>
    <w:rsid w:val="00D70AE6"/>
    <w:rsid w:val="00D750B7"/>
    <w:rsid w:val="00D81197"/>
    <w:rsid w:val="00D82C52"/>
    <w:rsid w:val="00D91C38"/>
    <w:rsid w:val="00D943B9"/>
    <w:rsid w:val="00D95958"/>
    <w:rsid w:val="00D96FC2"/>
    <w:rsid w:val="00DD04B8"/>
    <w:rsid w:val="00DD075C"/>
    <w:rsid w:val="00DD0AFB"/>
    <w:rsid w:val="00DD54DC"/>
    <w:rsid w:val="00DE31A0"/>
    <w:rsid w:val="00DF398F"/>
    <w:rsid w:val="00DF607D"/>
    <w:rsid w:val="00E05EC5"/>
    <w:rsid w:val="00E17219"/>
    <w:rsid w:val="00E25F13"/>
    <w:rsid w:val="00E31356"/>
    <w:rsid w:val="00E3239F"/>
    <w:rsid w:val="00E44426"/>
    <w:rsid w:val="00E633C7"/>
    <w:rsid w:val="00E70F87"/>
    <w:rsid w:val="00E74EE2"/>
    <w:rsid w:val="00E77322"/>
    <w:rsid w:val="00E81CE7"/>
    <w:rsid w:val="00E87B00"/>
    <w:rsid w:val="00EA012E"/>
    <w:rsid w:val="00EA094F"/>
    <w:rsid w:val="00EB11DE"/>
    <w:rsid w:val="00EB2FA2"/>
    <w:rsid w:val="00ED6067"/>
    <w:rsid w:val="00ED7549"/>
    <w:rsid w:val="00EE3B3A"/>
    <w:rsid w:val="00EE5B5F"/>
    <w:rsid w:val="00EF5AD7"/>
    <w:rsid w:val="00F048C5"/>
    <w:rsid w:val="00F13742"/>
    <w:rsid w:val="00F1608A"/>
    <w:rsid w:val="00F23729"/>
    <w:rsid w:val="00F41C8A"/>
    <w:rsid w:val="00F46C89"/>
    <w:rsid w:val="00F5367F"/>
    <w:rsid w:val="00F5637C"/>
    <w:rsid w:val="00F60B2A"/>
    <w:rsid w:val="00F62BB8"/>
    <w:rsid w:val="00F632CE"/>
    <w:rsid w:val="00F8374A"/>
    <w:rsid w:val="00FA1C00"/>
    <w:rsid w:val="00FC4004"/>
    <w:rsid w:val="00FD08B1"/>
    <w:rsid w:val="00FD1083"/>
    <w:rsid w:val="00FE4B96"/>
    <w:rsid w:val="00FF2947"/>
    <w:rsid w:val="00FF3B41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E16A"/>
  <w15:docId w15:val="{0BDCF7AA-C8F0-E942-89C0-CE671E7E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21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111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81111A"/>
    <w:pPr>
      <w:ind w:left="720"/>
      <w:contextualSpacing/>
    </w:pPr>
  </w:style>
  <w:style w:type="character" w:customStyle="1" w:styleId="nowrap">
    <w:name w:val="nowrap"/>
    <w:basedOn w:val="Standardnpsmoodstavce"/>
    <w:rsid w:val="0081111A"/>
  </w:style>
  <w:style w:type="character" w:styleId="Hypertextovodkaz">
    <w:name w:val="Hyperlink"/>
    <w:basedOn w:val="Standardnpsmoodstavce"/>
    <w:uiPriority w:val="99"/>
    <w:unhideWhenUsed/>
    <w:rsid w:val="003F05D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3F05D5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unhideWhenUsed/>
    <w:rsid w:val="009543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543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4C17"/>
    <w:rPr>
      <w:color w:val="808080"/>
      <w:shd w:val="clear" w:color="auto" w:fill="E6E6E6"/>
    </w:rPr>
  </w:style>
  <w:style w:type="character" w:styleId="Znakapoznpodarou">
    <w:name w:val="footnote reference"/>
    <w:basedOn w:val="Standardnpsmoodstavce"/>
    <w:uiPriority w:val="99"/>
    <w:semiHidden/>
    <w:unhideWhenUsed/>
    <w:rsid w:val="000B73F7"/>
    <w:rPr>
      <w:vertAlign w:val="superscript"/>
    </w:rPr>
  </w:style>
  <w:style w:type="table" w:styleId="Mkatabulky">
    <w:name w:val="Table Grid"/>
    <w:basedOn w:val="Normlntabulka"/>
    <w:uiPriority w:val="39"/>
    <w:rsid w:val="007B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7B24A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ezmezer">
    <w:name w:val="No Spacing"/>
    <w:uiPriority w:val="1"/>
    <w:qFormat/>
    <w:rsid w:val="00631C6E"/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5AD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3A4D87"/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DD54DC"/>
    <w:rPr>
      <w:rFonts w:ascii="Times New Roman" w:eastAsia="Times New Roman" w:hAnsi="Times New Roman" w:cs="Times New Roman"/>
      <w:lang w:eastAsia="cs-CZ"/>
    </w:rPr>
  </w:style>
  <w:style w:type="character" w:customStyle="1" w:styleId="preformatted">
    <w:name w:val="preformatted"/>
    <w:basedOn w:val="Standardnpsmoodstavce"/>
    <w:rsid w:val="001B517A"/>
  </w:style>
  <w:style w:type="paragraph" w:styleId="Textbubliny">
    <w:name w:val="Balloon Text"/>
    <w:basedOn w:val="Normln"/>
    <w:link w:val="TextbublinyChar"/>
    <w:uiPriority w:val="99"/>
    <w:semiHidden/>
    <w:unhideWhenUsed/>
    <w:rsid w:val="00B973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32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9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413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301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377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52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75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3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5803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93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uo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ou.cz/dp/id_ktg=5088&amp;archiv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B86559-5627-4B99-B14B-0F53CFF9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2811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Fiala</dc:creator>
  <cp:lastModifiedBy>Lenka Barnetová</cp:lastModifiedBy>
  <cp:revision>5</cp:revision>
  <cp:lastPrinted>2019-03-05T08:39:00Z</cp:lastPrinted>
  <dcterms:created xsi:type="dcterms:W3CDTF">2019-03-05T08:16:00Z</dcterms:created>
  <dcterms:modified xsi:type="dcterms:W3CDTF">2019-03-05T08:40:00Z</dcterms:modified>
</cp:coreProperties>
</file>